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5695" w14:textId="77777777" w:rsidR="00E841D3" w:rsidRPr="00B36660" w:rsidRDefault="0055284E" w:rsidP="00B36660">
      <w:pPr>
        <w:shd w:val="clear" w:color="auto" w:fill="FFFFFF"/>
        <w:spacing w:before="100" w:beforeAutospacing="1" w:after="100" w:afterAutospacing="1"/>
        <w:jc w:val="center"/>
        <w:rPr>
          <w:rFonts w:ascii="Georgia" w:hAnsi="Georgia" w:cs="Calibri"/>
          <w:sz w:val="24"/>
          <w:szCs w:val="24"/>
          <w:lang w:eastAsia="it-IT"/>
        </w:rPr>
      </w:pPr>
      <w:bookmarkStart w:id="0" w:name="_Hlk72862991"/>
      <w:bookmarkStart w:id="1" w:name="_Hlk69738524"/>
      <w:r>
        <w:rPr>
          <w:rFonts w:ascii="Garamond" w:hAnsi="Garamond" w:cs="Calibri"/>
          <w:noProof/>
          <w:color w:val="000000"/>
          <w:sz w:val="28"/>
          <w:szCs w:val="28"/>
          <w:lang w:eastAsia="it-IT"/>
        </w:rPr>
        <w:drawing>
          <wp:inline distT="0" distB="0" distL="0" distR="0" wp14:anchorId="6556135E" wp14:editId="3231F376">
            <wp:extent cx="2922905" cy="10198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v1v1v1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6F7D" w14:textId="27273D26" w:rsidR="00552B63" w:rsidRDefault="008119D2" w:rsidP="00AE2CBD">
      <w:pPr>
        <w:jc w:val="center"/>
        <w:rPr>
          <w:rFonts w:ascii="Garamond" w:hAnsi="Garamond" w:cs="Calibri"/>
          <w:b/>
          <w:bCs/>
          <w:sz w:val="28"/>
          <w:szCs w:val="28"/>
          <w:lang w:eastAsia="it-IT"/>
        </w:rPr>
      </w:pPr>
      <w:r>
        <w:rPr>
          <w:rFonts w:ascii="Garamond" w:hAnsi="Garamond" w:cs="Calibri"/>
          <w:b/>
          <w:bCs/>
          <w:sz w:val="28"/>
          <w:szCs w:val="28"/>
          <w:lang w:eastAsia="it-IT"/>
        </w:rPr>
        <w:t xml:space="preserve">PROCESSO PENALE: CAMBIARE </w:t>
      </w:r>
      <w:r w:rsidR="00D32825">
        <w:rPr>
          <w:rFonts w:ascii="Garamond" w:hAnsi="Garamond" w:cs="Calibri"/>
          <w:b/>
          <w:bCs/>
          <w:sz w:val="28"/>
          <w:szCs w:val="28"/>
          <w:lang w:eastAsia="it-IT"/>
        </w:rPr>
        <w:t>SÌ</w:t>
      </w:r>
      <w:r w:rsidR="00F55B4A">
        <w:rPr>
          <w:rFonts w:ascii="Garamond" w:hAnsi="Garamond" w:cs="Calibri"/>
          <w:b/>
          <w:bCs/>
          <w:sz w:val="28"/>
          <w:szCs w:val="28"/>
          <w:lang w:eastAsia="it-IT"/>
        </w:rPr>
        <w:t>. MA COME?</w:t>
      </w:r>
    </w:p>
    <w:p w14:paraId="575EF4B0" w14:textId="023DDC02" w:rsidR="0082180C" w:rsidRPr="002D27AC" w:rsidRDefault="00D32825" w:rsidP="00D32825">
      <w:pPr>
        <w:pStyle w:val="Paragrafoelenco"/>
        <w:ind w:left="1080"/>
        <w:rPr>
          <w:rFonts w:ascii="Garamond" w:hAnsi="Garamond" w:cs="Calibri"/>
          <w:b/>
          <w:bCs/>
          <w:sz w:val="28"/>
          <w:szCs w:val="28"/>
          <w:lang w:eastAsia="it-IT"/>
        </w:rPr>
      </w:pPr>
      <w:r>
        <w:rPr>
          <w:rFonts w:ascii="Garamond" w:hAnsi="Garamond" w:cs="Calibri"/>
          <w:b/>
          <w:bCs/>
          <w:sz w:val="28"/>
          <w:szCs w:val="28"/>
          <w:lang w:eastAsia="it-IT"/>
        </w:rPr>
        <w:t xml:space="preserve">- </w:t>
      </w:r>
      <w:r w:rsidR="002D27AC">
        <w:rPr>
          <w:rFonts w:ascii="Garamond" w:hAnsi="Garamond" w:cs="Calibri"/>
          <w:b/>
          <w:bCs/>
          <w:sz w:val="28"/>
          <w:szCs w:val="28"/>
          <w:lang w:eastAsia="it-IT"/>
        </w:rPr>
        <w:t xml:space="preserve">Su </w:t>
      </w:r>
      <w:r>
        <w:rPr>
          <w:rFonts w:ascii="Garamond" w:hAnsi="Garamond" w:cs="Calibri"/>
          <w:b/>
          <w:bCs/>
          <w:sz w:val="28"/>
          <w:szCs w:val="28"/>
          <w:lang w:eastAsia="it-IT"/>
        </w:rPr>
        <w:t>improcedibilità</w:t>
      </w:r>
      <w:r w:rsidR="002D27AC">
        <w:rPr>
          <w:rFonts w:ascii="Garamond" w:hAnsi="Garamond" w:cs="Calibri"/>
          <w:b/>
          <w:bCs/>
          <w:sz w:val="28"/>
          <w:szCs w:val="28"/>
          <w:lang w:eastAsia="it-IT"/>
        </w:rPr>
        <w:t>, criteri di priorità e nuovo volto della pena</w:t>
      </w:r>
      <w:r>
        <w:rPr>
          <w:rFonts w:ascii="Garamond" w:hAnsi="Garamond" w:cs="Calibri"/>
          <w:b/>
          <w:bCs/>
          <w:sz w:val="28"/>
          <w:szCs w:val="28"/>
          <w:lang w:eastAsia="it-IT"/>
        </w:rPr>
        <w:t xml:space="preserve"> -</w:t>
      </w:r>
    </w:p>
    <w:bookmarkEnd w:id="0"/>
    <w:p w14:paraId="70DDDB73" w14:textId="77777777" w:rsidR="00B60584" w:rsidRDefault="00B60584" w:rsidP="00B60584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A38D0FA" w14:textId="77777777" w:rsidR="00552B63" w:rsidRPr="00B60584" w:rsidRDefault="00B60584" w:rsidP="00B60584">
      <w:pPr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60584">
        <w:rPr>
          <w:rFonts w:ascii="Garamond" w:hAnsi="Garamond"/>
          <w:i/>
          <w:sz w:val="28"/>
          <w:szCs w:val="28"/>
        </w:rPr>
        <w:t>Una riforma necessaria</w:t>
      </w:r>
      <w:r w:rsidR="0033506D">
        <w:rPr>
          <w:rFonts w:ascii="Garamond" w:hAnsi="Garamond"/>
          <w:i/>
          <w:sz w:val="28"/>
          <w:szCs w:val="28"/>
        </w:rPr>
        <w:t xml:space="preserve">, ma verso quale prospettiva? Per un processo dai tempi ragionevoli che coniughi efficienza e complessità, contro le derive economiciste che misurano </w:t>
      </w:r>
      <w:r w:rsidR="001B35F7">
        <w:rPr>
          <w:rFonts w:ascii="Garamond" w:hAnsi="Garamond"/>
          <w:i/>
          <w:sz w:val="28"/>
          <w:szCs w:val="28"/>
        </w:rPr>
        <w:t xml:space="preserve">la giurisdizione </w:t>
      </w:r>
      <w:r w:rsidR="0033506D">
        <w:rPr>
          <w:rFonts w:ascii="Garamond" w:hAnsi="Garamond"/>
          <w:i/>
          <w:sz w:val="28"/>
          <w:szCs w:val="28"/>
        </w:rPr>
        <w:t xml:space="preserve">in termini di </w:t>
      </w:r>
      <w:r w:rsidR="00884E4D">
        <w:rPr>
          <w:rFonts w:ascii="Garamond" w:hAnsi="Garamond"/>
          <w:i/>
          <w:sz w:val="28"/>
          <w:szCs w:val="28"/>
        </w:rPr>
        <w:t xml:space="preserve">mera </w:t>
      </w:r>
      <w:r w:rsidR="0033506D">
        <w:rPr>
          <w:rFonts w:ascii="Garamond" w:hAnsi="Garamond"/>
          <w:i/>
          <w:sz w:val="28"/>
          <w:szCs w:val="28"/>
        </w:rPr>
        <w:t>produttività numerica</w:t>
      </w:r>
      <w:r w:rsidR="001B35F7">
        <w:rPr>
          <w:rFonts w:ascii="Garamond" w:hAnsi="Garamond"/>
          <w:i/>
          <w:sz w:val="28"/>
          <w:szCs w:val="28"/>
        </w:rPr>
        <w:t>, dietro alla quale si possono celare gravi ingiustizie</w:t>
      </w:r>
      <w:r w:rsidR="0033506D">
        <w:rPr>
          <w:rFonts w:ascii="Garamond" w:hAnsi="Garamond"/>
          <w:i/>
          <w:sz w:val="28"/>
          <w:szCs w:val="28"/>
        </w:rPr>
        <w:t>.</w:t>
      </w:r>
    </w:p>
    <w:p w14:paraId="40B5C696" w14:textId="77777777" w:rsidR="00FB66C1" w:rsidRDefault="00404101" w:rsidP="00B60584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Parlamento discute </w:t>
      </w:r>
      <w:r w:rsidR="009B4CBE">
        <w:rPr>
          <w:rFonts w:ascii="Garamond" w:hAnsi="Garamond"/>
          <w:sz w:val="28"/>
          <w:szCs w:val="28"/>
        </w:rPr>
        <w:t>in questi giorni</w:t>
      </w:r>
      <w:r>
        <w:rPr>
          <w:rFonts w:ascii="Garamond" w:hAnsi="Garamond"/>
          <w:sz w:val="28"/>
          <w:szCs w:val="28"/>
        </w:rPr>
        <w:t xml:space="preserve"> </w:t>
      </w:r>
      <w:r w:rsidR="001B1977">
        <w:rPr>
          <w:rFonts w:ascii="Garamond" w:hAnsi="Garamond"/>
          <w:sz w:val="28"/>
          <w:szCs w:val="28"/>
        </w:rPr>
        <w:t>il disegno di legge sulla riforma del processo penale [AC-2435] e gli emendamenti ad esso apportati dal Governo</w:t>
      </w:r>
      <w:r w:rsidR="00D640A1">
        <w:rPr>
          <w:rFonts w:ascii="Garamond" w:hAnsi="Garamond"/>
          <w:sz w:val="28"/>
          <w:szCs w:val="28"/>
        </w:rPr>
        <w:t>.</w:t>
      </w:r>
    </w:p>
    <w:p w14:paraId="18903213" w14:textId="77777777" w:rsidR="00B031C1" w:rsidRDefault="00D640A1" w:rsidP="00B0679E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7767BF">
        <w:rPr>
          <w:rFonts w:ascii="Garamond" w:hAnsi="Garamond"/>
          <w:sz w:val="28"/>
          <w:szCs w:val="28"/>
        </w:rPr>
        <w:t xml:space="preserve"> dati statistici confermano l’ineludibilità di una riforma.</w:t>
      </w:r>
      <w:r w:rsidR="00EA5EE6">
        <w:rPr>
          <w:rFonts w:ascii="Garamond" w:hAnsi="Garamond"/>
          <w:sz w:val="28"/>
          <w:szCs w:val="28"/>
        </w:rPr>
        <w:t xml:space="preserve"> </w:t>
      </w:r>
      <w:r w:rsidR="00B031C1">
        <w:rPr>
          <w:rFonts w:ascii="Garamond" w:hAnsi="Garamond"/>
          <w:sz w:val="28"/>
          <w:szCs w:val="28"/>
        </w:rPr>
        <w:t xml:space="preserve">Ne offrono conferma i dati riportati nell’ultima relazione svolta all’inaugurazione dell’anno giudiziario 2021. </w:t>
      </w:r>
    </w:p>
    <w:p w14:paraId="6EDDC49D" w14:textId="1EDCE682" w:rsidR="00D640A1" w:rsidRPr="008F0B8A" w:rsidRDefault="00EA5EE6" w:rsidP="00B0679E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numero di affari pendenti</w:t>
      </w:r>
      <w:r w:rsidR="00030ADE">
        <w:rPr>
          <w:rFonts w:ascii="Garamond" w:hAnsi="Garamond"/>
          <w:sz w:val="28"/>
          <w:szCs w:val="28"/>
        </w:rPr>
        <w:t xml:space="preserve"> è – da anni – straordinariamente alto</w:t>
      </w:r>
      <w:r w:rsidR="00EB33B7">
        <w:rPr>
          <w:rFonts w:ascii="Garamond" w:hAnsi="Garamond"/>
          <w:sz w:val="28"/>
          <w:szCs w:val="28"/>
        </w:rPr>
        <w:t>. Il numero di prescrizioni dichiarate dall</w:t>
      </w:r>
      <w:r w:rsidR="008F0B8A">
        <w:rPr>
          <w:rFonts w:ascii="Garamond" w:hAnsi="Garamond"/>
          <w:sz w:val="28"/>
          <w:szCs w:val="28"/>
        </w:rPr>
        <w:t>’autorità giudiziaria procedente, anche</w:t>
      </w:r>
      <w:r w:rsidR="00A0541C">
        <w:rPr>
          <w:rFonts w:ascii="Garamond" w:hAnsi="Garamond"/>
          <w:sz w:val="28"/>
          <w:szCs w:val="28"/>
        </w:rPr>
        <w:t xml:space="preserve">: </w:t>
      </w:r>
      <w:r w:rsidR="008F0B8A">
        <w:rPr>
          <w:rFonts w:ascii="Garamond" w:hAnsi="Garamond"/>
          <w:sz w:val="28"/>
          <w:szCs w:val="28"/>
        </w:rPr>
        <w:t xml:space="preserve">nel 2019, prima della </w:t>
      </w:r>
      <w:r w:rsidR="008F0B8A">
        <w:rPr>
          <w:rFonts w:ascii="Garamond" w:hAnsi="Garamond"/>
          <w:i/>
          <w:iCs/>
          <w:sz w:val="28"/>
          <w:szCs w:val="28"/>
        </w:rPr>
        <w:t>pandemia</w:t>
      </w:r>
      <w:r w:rsidR="008F0B8A">
        <w:rPr>
          <w:rFonts w:ascii="Garamond" w:hAnsi="Garamond"/>
          <w:sz w:val="28"/>
          <w:szCs w:val="28"/>
        </w:rPr>
        <w:t>, il dato nazionale era pari all’8,7%</w:t>
      </w:r>
      <w:r w:rsidR="00A0541C">
        <w:rPr>
          <w:rFonts w:ascii="Garamond" w:hAnsi="Garamond"/>
          <w:sz w:val="28"/>
          <w:szCs w:val="28"/>
        </w:rPr>
        <w:t xml:space="preserve">; nelle corti di appello – dato nazionale </w:t>
      </w:r>
      <w:r w:rsidR="00C4701E">
        <w:rPr>
          <w:rFonts w:ascii="Garamond" w:hAnsi="Garamond"/>
          <w:sz w:val="28"/>
          <w:szCs w:val="28"/>
        </w:rPr>
        <w:t>– le prescrizioni dichiarate risultano pari al 25,8% delle definizioni</w:t>
      </w:r>
      <w:r w:rsidR="00C456CA">
        <w:rPr>
          <w:rFonts w:ascii="Garamond" w:hAnsi="Garamond"/>
          <w:sz w:val="28"/>
          <w:szCs w:val="28"/>
        </w:rPr>
        <w:t xml:space="preserve"> (e sappiamo che tale dato ha un’incidenza diversamente distribuita sul territorio nazionale). </w:t>
      </w:r>
      <w:r w:rsidR="000D4AF2">
        <w:rPr>
          <w:rFonts w:ascii="Garamond" w:hAnsi="Garamond"/>
          <w:sz w:val="28"/>
          <w:szCs w:val="28"/>
        </w:rPr>
        <w:t xml:space="preserve">L’udienza preliminare è incapace di </w:t>
      </w:r>
      <w:r w:rsidR="00493C58">
        <w:rPr>
          <w:rFonts w:ascii="Garamond" w:hAnsi="Garamond"/>
          <w:sz w:val="28"/>
          <w:szCs w:val="28"/>
        </w:rPr>
        <w:t>esercitare la funzione di “filtro” che le era assegnata nel</w:t>
      </w:r>
      <w:r w:rsidR="00B0679E">
        <w:rPr>
          <w:rFonts w:ascii="Garamond" w:hAnsi="Garamond"/>
          <w:sz w:val="28"/>
          <w:szCs w:val="28"/>
        </w:rPr>
        <w:t xml:space="preserve"> disegno originario del codice </w:t>
      </w:r>
      <w:r w:rsidR="00310BA1">
        <w:rPr>
          <w:rFonts w:ascii="Garamond" w:hAnsi="Garamond"/>
          <w:sz w:val="28"/>
          <w:szCs w:val="28"/>
        </w:rPr>
        <w:t>(</w:t>
      </w:r>
      <w:r w:rsidR="00D442F8">
        <w:rPr>
          <w:rFonts w:ascii="Garamond" w:hAnsi="Garamond"/>
          <w:sz w:val="28"/>
          <w:szCs w:val="28"/>
        </w:rPr>
        <w:t xml:space="preserve">così la Commissione Lattanzi: </w:t>
      </w:r>
      <w:r w:rsidR="00B0679E" w:rsidRPr="00B0679E">
        <w:rPr>
          <w:rFonts w:ascii="Garamond" w:hAnsi="Garamond"/>
          <w:sz w:val="28"/>
          <w:szCs w:val="28"/>
        </w:rPr>
        <w:t xml:space="preserve">«i dati statistici sono impietosi e dimostrano che, nei casi in cui l’udienza preliminare si conclude con un rinvio a giudizio </w:t>
      </w:r>
      <w:r w:rsidR="00310BA1">
        <w:rPr>
          <w:rFonts w:ascii="Garamond" w:hAnsi="Garamond"/>
          <w:sz w:val="28"/>
          <w:szCs w:val="28"/>
        </w:rPr>
        <w:t xml:space="preserve">– </w:t>
      </w:r>
      <w:r w:rsidR="00B0679E" w:rsidRPr="00B0679E">
        <w:rPr>
          <w:rFonts w:ascii="Garamond" w:hAnsi="Garamond"/>
          <w:sz w:val="28"/>
          <w:szCs w:val="28"/>
        </w:rPr>
        <w:t>ossia nel 63% dei casi</w:t>
      </w:r>
      <w:r w:rsidR="00310BA1">
        <w:rPr>
          <w:rFonts w:ascii="Garamond" w:hAnsi="Garamond"/>
          <w:sz w:val="28"/>
          <w:szCs w:val="28"/>
        </w:rPr>
        <w:t xml:space="preserve"> –</w:t>
      </w:r>
      <w:r w:rsidR="00B0679E" w:rsidRPr="00B0679E">
        <w:rPr>
          <w:rFonts w:ascii="Garamond" w:hAnsi="Garamond"/>
          <w:sz w:val="28"/>
          <w:szCs w:val="28"/>
        </w:rPr>
        <w:t xml:space="preserve"> essa genera un aumento di durata del processo di primo grado di circa 400 gg.</w:t>
      </w:r>
      <w:r w:rsidR="00D442F8">
        <w:rPr>
          <w:rFonts w:ascii="Garamond" w:hAnsi="Garamond"/>
          <w:sz w:val="28"/>
          <w:szCs w:val="28"/>
        </w:rPr>
        <w:t xml:space="preserve"> </w:t>
      </w:r>
      <w:r w:rsidR="00B0679E" w:rsidRPr="00B0679E">
        <w:rPr>
          <w:rFonts w:ascii="Garamond" w:hAnsi="Garamond"/>
          <w:sz w:val="28"/>
          <w:szCs w:val="28"/>
        </w:rPr>
        <w:t>Complessivamente, l</w:t>
      </w:r>
      <w:r w:rsidR="00310BA1">
        <w:rPr>
          <w:rFonts w:ascii="Garamond" w:hAnsi="Garamond"/>
          <w:sz w:val="28"/>
          <w:szCs w:val="28"/>
        </w:rPr>
        <w:t>’</w:t>
      </w:r>
      <w:r w:rsidR="00B0679E" w:rsidRPr="00B0679E">
        <w:rPr>
          <w:rFonts w:ascii="Garamond" w:hAnsi="Garamond"/>
          <w:sz w:val="28"/>
          <w:szCs w:val="28"/>
        </w:rPr>
        <w:t>udienza preliminare filtra poco più del 10% delle imputazioni per i processi nei quali è prevista e non incide peraltro in modo significativo sul tasso dei proscioglimenti in dibattimento</w:t>
      </w:r>
      <w:r w:rsidR="00310BA1">
        <w:rPr>
          <w:rFonts w:ascii="Garamond" w:hAnsi="Garamond"/>
          <w:sz w:val="28"/>
          <w:szCs w:val="28"/>
        </w:rPr>
        <w:t>)</w:t>
      </w:r>
      <w:r w:rsidR="00B0679E" w:rsidRPr="00B0679E">
        <w:rPr>
          <w:rFonts w:ascii="Garamond" w:hAnsi="Garamond"/>
          <w:sz w:val="28"/>
          <w:szCs w:val="28"/>
        </w:rPr>
        <w:t>.</w:t>
      </w:r>
      <w:r w:rsidR="00D442F8">
        <w:rPr>
          <w:rFonts w:ascii="Garamond" w:hAnsi="Garamond"/>
          <w:sz w:val="28"/>
          <w:szCs w:val="28"/>
        </w:rPr>
        <w:t xml:space="preserve"> La durata media dei procedimenti </w:t>
      </w:r>
      <w:r w:rsidR="007D07B2">
        <w:rPr>
          <w:rFonts w:ascii="Garamond" w:hAnsi="Garamond"/>
          <w:sz w:val="28"/>
          <w:szCs w:val="28"/>
        </w:rPr>
        <w:t xml:space="preserve">è preoccupante e – quanto ai giudizi di appello </w:t>
      </w:r>
      <w:r w:rsidR="008E420E">
        <w:rPr>
          <w:rFonts w:ascii="Garamond" w:hAnsi="Garamond"/>
          <w:sz w:val="28"/>
          <w:szCs w:val="28"/>
        </w:rPr>
        <w:t>–</w:t>
      </w:r>
      <w:r w:rsidR="007D07B2">
        <w:rPr>
          <w:rFonts w:ascii="Garamond" w:hAnsi="Garamond"/>
          <w:sz w:val="28"/>
          <w:szCs w:val="28"/>
        </w:rPr>
        <w:t xml:space="preserve"> </w:t>
      </w:r>
      <w:r w:rsidR="008E420E">
        <w:rPr>
          <w:rFonts w:ascii="Garamond" w:hAnsi="Garamond"/>
          <w:sz w:val="28"/>
          <w:szCs w:val="28"/>
        </w:rPr>
        <w:t xml:space="preserve">straordinariamente elevata </w:t>
      </w:r>
      <w:r w:rsidR="00310BA1">
        <w:rPr>
          <w:rFonts w:ascii="Garamond" w:hAnsi="Garamond"/>
          <w:sz w:val="28"/>
          <w:szCs w:val="28"/>
        </w:rPr>
        <w:t>(</w:t>
      </w:r>
      <w:r w:rsidR="008E420E">
        <w:rPr>
          <w:rFonts w:ascii="Garamond" w:hAnsi="Garamond"/>
          <w:sz w:val="28"/>
          <w:szCs w:val="28"/>
        </w:rPr>
        <w:t xml:space="preserve">durata media al giugno 2019, </w:t>
      </w:r>
      <w:proofErr w:type="spellStart"/>
      <w:r w:rsidR="008E420E">
        <w:rPr>
          <w:rFonts w:ascii="Garamond" w:hAnsi="Garamond"/>
          <w:sz w:val="28"/>
          <w:szCs w:val="28"/>
        </w:rPr>
        <w:t>pre</w:t>
      </w:r>
      <w:proofErr w:type="spellEnd"/>
      <w:r w:rsidR="008E420E">
        <w:rPr>
          <w:rFonts w:ascii="Garamond" w:hAnsi="Garamond"/>
          <w:sz w:val="28"/>
          <w:szCs w:val="28"/>
        </w:rPr>
        <w:t xml:space="preserve">-pandemia: </w:t>
      </w:r>
      <w:r w:rsidR="00214870">
        <w:rPr>
          <w:rFonts w:ascii="Garamond" w:hAnsi="Garamond"/>
          <w:sz w:val="28"/>
          <w:szCs w:val="28"/>
        </w:rPr>
        <w:t>840 giorni; e sappiamo che la durata media dei procedimenti di appello è diversamente distribuita sul territorio nazionale</w:t>
      </w:r>
      <w:r w:rsidR="00310BA1">
        <w:rPr>
          <w:rFonts w:ascii="Garamond" w:hAnsi="Garamond"/>
          <w:sz w:val="28"/>
          <w:szCs w:val="28"/>
        </w:rPr>
        <w:t>)</w:t>
      </w:r>
      <w:r w:rsidR="009F5313">
        <w:rPr>
          <w:rFonts w:ascii="Garamond" w:hAnsi="Garamond"/>
          <w:sz w:val="28"/>
          <w:szCs w:val="28"/>
        </w:rPr>
        <w:t xml:space="preserve">. </w:t>
      </w:r>
    </w:p>
    <w:p w14:paraId="4CCCA056" w14:textId="17B915E4" w:rsidR="004B01FA" w:rsidRDefault="00B031C1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Non solo.</w:t>
      </w:r>
      <w:r w:rsidR="004E0B0B">
        <w:rPr>
          <w:rFonts w:ascii="Garamond" w:hAnsi="Garamond"/>
          <w:sz w:val="28"/>
          <w:szCs w:val="28"/>
        </w:rPr>
        <w:t xml:space="preserve"> La fotografia di un sistema penale inefficiente è </w:t>
      </w:r>
      <w:r w:rsidR="00470C91">
        <w:rPr>
          <w:rFonts w:ascii="Garamond" w:hAnsi="Garamond"/>
          <w:sz w:val="28"/>
          <w:szCs w:val="28"/>
        </w:rPr>
        <w:t xml:space="preserve">restituita anche dai dati relativi alla c.d. </w:t>
      </w:r>
      <w:r w:rsidR="00470C91">
        <w:rPr>
          <w:rFonts w:ascii="Garamond" w:hAnsi="Garamond"/>
          <w:i/>
          <w:iCs/>
          <w:sz w:val="28"/>
          <w:szCs w:val="28"/>
        </w:rPr>
        <w:t>popolazione carceraria</w:t>
      </w:r>
      <w:r w:rsidR="00470C91">
        <w:rPr>
          <w:rFonts w:ascii="Garamond" w:hAnsi="Garamond"/>
          <w:sz w:val="28"/>
          <w:szCs w:val="28"/>
        </w:rPr>
        <w:t>: al 30 giugno 2021, i</w:t>
      </w:r>
      <w:r w:rsidR="00E33A69">
        <w:rPr>
          <w:rFonts w:ascii="Garamond" w:hAnsi="Garamond"/>
          <w:sz w:val="28"/>
          <w:szCs w:val="28"/>
        </w:rPr>
        <w:t xml:space="preserve">l numero di </w:t>
      </w:r>
      <w:r w:rsidR="00470C91">
        <w:rPr>
          <w:rFonts w:ascii="Garamond" w:hAnsi="Garamond"/>
          <w:sz w:val="28"/>
          <w:szCs w:val="28"/>
        </w:rPr>
        <w:t xml:space="preserve">detenuti presenti </w:t>
      </w:r>
      <w:r w:rsidR="00310BA1">
        <w:rPr>
          <w:rFonts w:ascii="Garamond" w:hAnsi="Garamond"/>
          <w:sz w:val="28"/>
          <w:szCs w:val="28"/>
        </w:rPr>
        <w:t>(</w:t>
      </w:r>
      <w:r w:rsidR="00E33A69">
        <w:rPr>
          <w:rFonts w:ascii="Garamond" w:hAnsi="Garamond"/>
          <w:sz w:val="28"/>
          <w:szCs w:val="28"/>
        </w:rPr>
        <w:t>oltre 53mila</w:t>
      </w:r>
      <w:r w:rsidR="00310BA1">
        <w:rPr>
          <w:rFonts w:ascii="Garamond" w:hAnsi="Garamond"/>
          <w:sz w:val="28"/>
          <w:szCs w:val="28"/>
        </w:rPr>
        <w:t>)</w:t>
      </w:r>
      <w:r w:rsidR="00E33A69">
        <w:rPr>
          <w:rFonts w:ascii="Garamond" w:hAnsi="Garamond"/>
          <w:sz w:val="28"/>
          <w:szCs w:val="28"/>
        </w:rPr>
        <w:t xml:space="preserve"> è superiore alla capienza regolamentare </w:t>
      </w:r>
      <w:r w:rsidR="00310BA1">
        <w:rPr>
          <w:rFonts w:ascii="Garamond" w:hAnsi="Garamond"/>
          <w:sz w:val="28"/>
          <w:szCs w:val="28"/>
        </w:rPr>
        <w:t>(</w:t>
      </w:r>
      <w:r w:rsidR="00016820">
        <w:rPr>
          <w:rFonts w:ascii="Garamond" w:hAnsi="Garamond"/>
          <w:sz w:val="28"/>
          <w:szCs w:val="28"/>
        </w:rPr>
        <w:t>oltre 51mila</w:t>
      </w:r>
      <w:r w:rsidR="00310BA1">
        <w:rPr>
          <w:rFonts w:ascii="Garamond" w:hAnsi="Garamond"/>
          <w:sz w:val="28"/>
          <w:szCs w:val="28"/>
        </w:rPr>
        <w:t>)</w:t>
      </w:r>
      <w:r w:rsidR="00016820">
        <w:rPr>
          <w:rFonts w:ascii="Garamond" w:hAnsi="Garamond"/>
          <w:sz w:val="28"/>
          <w:szCs w:val="28"/>
        </w:rPr>
        <w:t xml:space="preserve">; dei detenuti presenti, circa il 30% </w:t>
      </w:r>
      <w:r w:rsidR="00753B55">
        <w:rPr>
          <w:rFonts w:ascii="Garamond" w:hAnsi="Garamond"/>
          <w:sz w:val="28"/>
          <w:szCs w:val="28"/>
        </w:rPr>
        <w:t>non è irrevocabilmente condannato e, tra essi, il 15% è ancora in attesa di una condanna di primo grado.</w:t>
      </w:r>
      <w:r w:rsidR="003403B0">
        <w:rPr>
          <w:rFonts w:ascii="Garamond" w:hAnsi="Garamond"/>
          <w:sz w:val="28"/>
          <w:szCs w:val="28"/>
        </w:rPr>
        <w:t xml:space="preserve"> </w:t>
      </w:r>
    </w:p>
    <w:p w14:paraId="612FF342" w14:textId="77777777" w:rsidR="00054312" w:rsidRDefault="002C110C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tratta di dati che dimostrano che l’attuale processo penale non </w:t>
      </w:r>
      <w:r w:rsidR="00216703">
        <w:rPr>
          <w:rFonts w:ascii="Garamond" w:hAnsi="Garamond"/>
          <w:sz w:val="28"/>
          <w:szCs w:val="28"/>
        </w:rPr>
        <w:t xml:space="preserve">è in grado di </w:t>
      </w:r>
      <w:r>
        <w:rPr>
          <w:rFonts w:ascii="Garamond" w:hAnsi="Garamond"/>
          <w:sz w:val="28"/>
          <w:szCs w:val="28"/>
        </w:rPr>
        <w:t>assicura</w:t>
      </w:r>
      <w:r w:rsidR="00216703">
        <w:rPr>
          <w:rFonts w:ascii="Garamond" w:hAnsi="Garamond"/>
          <w:sz w:val="28"/>
          <w:szCs w:val="28"/>
        </w:rPr>
        <w:t>re</w:t>
      </w:r>
      <w:r>
        <w:rPr>
          <w:rFonts w:ascii="Garamond" w:hAnsi="Garamond"/>
          <w:sz w:val="28"/>
          <w:szCs w:val="28"/>
        </w:rPr>
        <w:t xml:space="preserve"> il fine per cui </w:t>
      </w:r>
      <w:r w:rsidR="00216703">
        <w:rPr>
          <w:rFonts w:ascii="Garamond" w:hAnsi="Garamond"/>
          <w:sz w:val="28"/>
          <w:szCs w:val="28"/>
        </w:rPr>
        <w:t>esso esiste</w:t>
      </w:r>
      <w:r w:rsidR="005E2CE3">
        <w:rPr>
          <w:rFonts w:ascii="Garamond" w:hAnsi="Garamond"/>
          <w:sz w:val="28"/>
          <w:szCs w:val="28"/>
        </w:rPr>
        <w:t xml:space="preserve"> e che lo legittima</w:t>
      </w:r>
      <w:r w:rsidR="00216703">
        <w:rPr>
          <w:rFonts w:ascii="Garamond" w:hAnsi="Garamond"/>
          <w:sz w:val="28"/>
          <w:szCs w:val="28"/>
        </w:rPr>
        <w:t>: accertare i fatti</w:t>
      </w:r>
      <w:r w:rsidR="00443B07">
        <w:rPr>
          <w:rFonts w:ascii="Garamond" w:hAnsi="Garamond"/>
          <w:sz w:val="28"/>
          <w:szCs w:val="28"/>
        </w:rPr>
        <w:t xml:space="preserve"> e offrire una verità processuale in tempi ragionevoli.</w:t>
      </w:r>
    </w:p>
    <w:p w14:paraId="07941A06" w14:textId="4E437789" w:rsidR="000720E7" w:rsidRDefault="000720E7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Un simile quadro impone di intervenire. Non solo perché è necessario </w:t>
      </w:r>
      <w:r w:rsidR="001762AA">
        <w:rPr>
          <w:rFonts w:ascii="Garamond" w:hAnsi="Garamond"/>
          <w:sz w:val="28"/>
          <w:szCs w:val="28"/>
        </w:rPr>
        <w:t xml:space="preserve">rispettare il cronoprogramma associato al </w:t>
      </w:r>
      <w:proofErr w:type="gramStart"/>
      <w:r w:rsidR="001762AA">
        <w:rPr>
          <w:rFonts w:ascii="Garamond" w:hAnsi="Garamond"/>
          <w:sz w:val="28"/>
          <w:szCs w:val="28"/>
        </w:rPr>
        <w:t>PNRR</w:t>
      </w:r>
      <w:r w:rsidR="00310BA1">
        <w:rPr>
          <w:rFonts w:ascii="Garamond" w:hAnsi="Garamond"/>
          <w:sz w:val="28"/>
          <w:szCs w:val="28"/>
        </w:rPr>
        <w:t>;</w:t>
      </w:r>
      <w:proofErr w:type="gramEnd"/>
      <w:r w:rsidR="001762AA">
        <w:rPr>
          <w:rFonts w:ascii="Garamond" w:hAnsi="Garamond"/>
          <w:sz w:val="28"/>
          <w:szCs w:val="28"/>
        </w:rPr>
        <w:t xml:space="preserve"> </w:t>
      </w:r>
      <w:r w:rsidR="00310BA1">
        <w:rPr>
          <w:rFonts w:ascii="Garamond" w:hAnsi="Garamond"/>
          <w:sz w:val="28"/>
          <w:szCs w:val="28"/>
        </w:rPr>
        <w:t>m</w:t>
      </w:r>
      <w:r w:rsidR="001762AA">
        <w:rPr>
          <w:rFonts w:ascii="Garamond" w:hAnsi="Garamond"/>
          <w:sz w:val="28"/>
          <w:szCs w:val="28"/>
        </w:rPr>
        <w:t xml:space="preserve">a perché – prima di esso – lo impongono l’art. 111 </w:t>
      </w:r>
      <w:proofErr w:type="spellStart"/>
      <w:r w:rsidR="001762AA">
        <w:rPr>
          <w:rFonts w:ascii="Garamond" w:hAnsi="Garamond"/>
          <w:sz w:val="28"/>
          <w:szCs w:val="28"/>
        </w:rPr>
        <w:t>Cost</w:t>
      </w:r>
      <w:proofErr w:type="spellEnd"/>
      <w:r w:rsidR="001762AA">
        <w:rPr>
          <w:rFonts w:ascii="Garamond" w:hAnsi="Garamond"/>
          <w:sz w:val="28"/>
          <w:szCs w:val="28"/>
        </w:rPr>
        <w:t xml:space="preserve">. e l’art. 6 della </w:t>
      </w:r>
      <w:proofErr w:type="spellStart"/>
      <w:r w:rsidR="001762AA">
        <w:rPr>
          <w:rFonts w:ascii="Garamond" w:hAnsi="Garamond"/>
          <w:sz w:val="28"/>
          <w:szCs w:val="28"/>
        </w:rPr>
        <w:t>Conv</w:t>
      </w:r>
      <w:proofErr w:type="spellEnd"/>
      <w:r w:rsidR="001762AA">
        <w:rPr>
          <w:rFonts w:ascii="Garamond" w:hAnsi="Garamond"/>
          <w:sz w:val="28"/>
          <w:szCs w:val="28"/>
        </w:rPr>
        <w:t xml:space="preserve">. </w:t>
      </w:r>
      <w:proofErr w:type="spellStart"/>
      <w:r w:rsidR="001762AA">
        <w:rPr>
          <w:rFonts w:ascii="Garamond" w:hAnsi="Garamond"/>
          <w:sz w:val="28"/>
          <w:szCs w:val="28"/>
        </w:rPr>
        <w:t>Edu</w:t>
      </w:r>
      <w:proofErr w:type="spellEnd"/>
      <w:r w:rsidR="001762AA">
        <w:rPr>
          <w:rFonts w:ascii="Garamond" w:hAnsi="Garamond"/>
          <w:sz w:val="28"/>
          <w:szCs w:val="28"/>
        </w:rPr>
        <w:t>.</w:t>
      </w:r>
    </w:p>
    <w:p w14:paraId="57B712FF" w14:textId="0542CC56" w:rsidR="00D068A9" w:rsidRDefault="00BC5A5E" w:rsidP="00EA60D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Alcuni interventi sarebbero ineludibili e preziosi per porre mano alle criticità:</w:t>
      </w:r>
      <w:r w:rsidR="00EA60D9">
        <w:rPr>
          <w:rFonts w:ascii="Garamond" w:hAnsi="Garamond"/>
          <w:sz w:val="28"/>
          <w:szCs w:val="28"/>
        </w:rPr>
        <w:t xml:space="preserve"> </w:t>
      </w:r>
      <w:r w:rsidR="00352EE0">
        <w:rPr>
          <w:rFonts w:ascii="Garamond" w:hAnsi="Garamond"/>
          <w:sz w:val="28"/>
          <w:szCs w:val="28"/>
        </w:rPr>
        <w:t xml:space="preserve">sarebbe indispensabile </w:t>
      </w:r>
      <w:r w:rsidR="00EA60D9">
        <w:rPr>
          <w:rFonts w:ascii="Garamond" w:hAnsi="Garamond"/>
          <w:sz w:val="28"/>
          <w:szCs w:val="28"/>
        </w:rPr>
        <w:t>u</w:t>
      </w:r>
      <w:r w:rsidR="00EA60D9" w:rsidRPr="00EA60D9">
        <w:rPr>
          <w:rFonts w:ascii="Garamond" w:hAnsi="Garamond"/>
          <w:sz w:val="28"/>
          <w:szCs w:val="28"/>
        </w:rPr>
        <w:t>n massiccio potenziamento organici</w:t>
      </w:r>
      <w:r w:rsidR="00DC662A">
        <w:rPr>
          <w:rFonts w:ascii="Garamond" w:hAnsi="Garamond"/>
          <w:sz w:val="28"/>
          <w:szCs w:val="28"/>
        </w:rPr>
        <w:t xml:space="preserve">: </w:t>
      </w:r>
      <w:r w:rsidR="007F033C">
        <w:rPr>
          <w:rFonts w:ascii="Garamond" w:hAnsi="Garamond"/>
          <w:sz w:val="28"/>
          <w:szCs w:val="28"/>
        </w:rPr>
        <w:t xml:space="preserve">secondo il rapporto CEPEJ 2020, </w:t>
      </w:r>
      <w:r w:rsidR="006C2B47">
        <w:rPr>
          <w:rFonts w:ascii="Garamond" w:hAnsi="Garamond"/>
          <w:sz w:val="28"/>
          <w:szCs w:val="28"/>
        </w:rPr>
        <w:t xml:space="preserve">il numero di giudici professionali in rapporto a 100.000 abitanti </w:t>
      </w:r>
      <w:r w:rsidR="00DC662A">
        <w:rPr>
          <w:rFonts w:ascii="Garamond" w:hAnsi="Garamond"/>
          <w:sz w:val="28"/>
          <w:szCs w:val="28"/>
        </w:rPr>
        <w:t>(</w:t>
      </w:r>
      <w:r w:rsidR="007F033C">
        <w:rPr>
          <w:rFonts w:ascii="Garamond" w:hAnsi="Garamond"/>
          <w:sz w:val="28"/>
          <w:szCs w:val="28"/>
        </w:rPr>
        <w:t>11,6) è straordinariamente inferiore alla media registrabile nei Paesi membri del Consiglio d’Europa (</w:t>
      </w:r>
      <w:r w:rsidR="003925BC">
        <w:rPr>
          <w:rFonts w:ascii="Garamond" w:hAnsi="Garamond"/>
          <w:sz w:val="28"/>
          <w:szCs w:val="28"/>
        </w:rPr>
        <w:t>21,4)</w:t>
      </w:r>
      <w:r w:rsidR="00DC662A">
        <w:rPr>
          <w:rFonts w:ascii="Garamond" w:hAnsi="Garamond"/>
          <w:sz w:val="28"/>
          <w:szCs w:val="28"/>
        </w:rPr>
        <w:t>.</w:t>
      </w:r>
      <w:r w:rsidR="003925BC">
        <w:rPr>
          <w:rFonts w:ascii="Garamond" w:hAnsi="Garamond"/>
          <w:sz w:val="28"/>
          <w:szCs w:val="28"/>
        </w:rPr>
        <w:t xml:space="preserve"> </w:t>
      </w:r>
      <w:r w:rsidR="00DC662A">
        <w:rPr>
          <w:rFonts w:ascii="Garamond" w:hAnsi="Garamond"/>
          <w:sz w:val="28"/>
          <w:szCs w:val="28"/>
        </w:rPr>
        <w:t>A</w:t>
      </w:r>
      <w:r w:rsidR="003925BC">
        <w:rPr>
          <w:rFonts w:ascii="Garamond" w:hAnsi="Garamond"/>
          <w:sz w:val="28"/>
          <w:szCs w:val="28"/>
        </w:rPr>
        <w:t>nalogo dato si registra guardando ai pubblici ministeri professionali</w:t>
      </w:r>
      <w:r w:rsidR="00DC662A">
        <w:rPr>
          <w:rFonts w:ascii="Garamond" w:hAnsi="Garamond"/>
          <w:sz w:val="28"/>
          <w:szCs w:val="28"/>
        </w:rPr>
        <w:t xml:space="preserve">: il </w:t>
      </w:r>
      <w:r w:rsidR="003925BC">
        <w:rPr>
          <w:rFonts w:ascii="Garamond" w:hAnsi="Garamond"/>
          <w:sz w:val="28"/>
          <w:szCs w:val="28"/>
        </w:rPr>
        <w:t>dato italian</w:t>
      </w:r>
      <w:r w:rsidR="00DC662A">
        <w:rPr>
          <w:rFonts w:ascii="Garamond" w:hAnsi="Garamond"/>
          <w:sz w:val="28"/>
          <w:szCs w:val="28"/>
        </w:rPr>
        <w:t>o,</w:t>
      </w:r>
      <w:r w:rsidR="003925BC">
        <w:rPr>
          <w:rFonts w:ascii="Garamond" w:hAnsi="Garamond"/>
          <w:sz w:val="28"/>
          <w:szCs w:val="28"/>
        </w:rPr>
        <w:t xml:space="preserve"> 3,7 PM ogni 100mila abitanti</w:t>
      </w:r>
      <w:r w:rsidR="00DC662A">
        <w:rPr>
          <w:rFonts w:ascii="Garamond" w:hAnsi="Garamond"/>
          <w:sz w:val="28"/>
          <w:szCs w:val="28"/>
        </w:rPr>
        <w:t xml:space="preserve"> è meno di un terzo del </w:t>
      </w:r>
      <w:r w:rsidR="003925BC">
        <w:rPr>
          <w:rFonts w:ascii="Garamond" w:hAnsi="Garamond"/>
          <w:sz w:val="28"/>
          <w:szCs w:val="28"/>
        </w:rPr>
        <w:t xml:space="preserve">dato medio Paesi membri del </w:t>
      </w:r>
      <w:proofErr w:type="spellStart"/>
      <w:r w:rsidR="003925BC">
        <w:rPr>
          <w:rFonts w:ascii="Garamond" w:hAnsi="Garamond"/>
          <w:sz w:val="28"/>
          <w:szCs w:val="28"/>
        </w:rPr>
        <w:t>C</w:t>
      </w:r>
      <w:r w:rsidR="00235082">
        <w:rPr>
          <w:rFonts w:ascii="Garamond" w:hAnsi="Garamond"/>
          <w:sz w:val="28"/>
          <w:szCs w:val="28"/>
        </w:rPr>
        <w:t>oE</w:t>
      </w:r>
      <w:proofErr w:type="spellEnd"/>
      <w:r w:rsidR="00235082">
        <w:rPr>
          <w:rFonts w:ascii="Garamond" w:hAnsi="Garamond"/>
          <w:sz w:val="28"/>
          <w:szCs w:val="28"/>
        </w:rPr>
        <w:t xml:space="preserve">: </w:t>
      </w:r>
      <w:r w:rsidR="00DC662A">
        <w:rPr>
          <w:rFonts w:ascii="Garamond" w:hAnsi="Garamond"/>
          <w:sz w:val="28"/>
          <w:szCs w:val="28"/>
        </w:rPr>
        <w:t>(</w:t>
      </w:r>
      <w:r w:rsidR="00235082">
        <w:rPr>
          <w:rFonts w:ascii="Garamond" w:hAnsi="Garamond"/>
          <w:sz w:val="28"/>
          <w:szCs w:val="28"/>
        </w:rPr>
        <w:t xml:space="preserve">12,13); altrettanto indispensabile sarebbe una coraggiosa revisione della geografia giudiziaria (ancor più necessaria ove dovesse essere approvata la riforma in discussione); </w:t>
      </w:r>
      <w:r w:rsidR="00A13253">
        <w:rPr>
          <w:rFonts w:ascii="Garamond" w:hAnsi="Garamond"/>
          <w:sz w:val="28"/>
          <w:szCs w:val="28"/>
        </w:rPr>
        <w:t>u</w:t>
      </w:r>
      <w:r w:rsidR="00EA60D9" w:rsidRPr="00EA60D9">
        <w:rPr>
          <w:rFonts w:ascii="Garamond" w:hAnsi="Garamond"/>
          <w:sz w:val="28"/>
          <w:szCs w:val="28"/>
        </w:rPr>
        <w:t>na seria azione di razionalizzazione del catalogo dei reati</w:t>
      </w:r>
      <w:r w:rsidR="00A13253">
        <w:rPr>
          <w:rFonts w:ascii="Garamond" w:hAnsi="Garamond"/>
          <w:sz w:val="28"/>
          <w:szCs w:val="28"/>
        </w:rPr>
        <w:t>, la si chiami depenalizzazione di alcuni reati minori o</w:t>
      </w:r>
      <w:r w:rsidR="00D068A9">
        <w:rPr>
          <w:rFonts w:ascii="Garamond" w:hAnsi="Garamond"/>
          <w:sz w:val="28"/>
          <w:szCs w:val="28"/>
        </w:rPr>
        <w:t xml:space="preserve"> diversa – e più razionale – tipizzazione delle </w:t>
      </w:r>
      <w:r w:rsidR="00783BCC">
        <w:rPr>
          <w:rFonts w:ascii="Garamond" w:hAnsi="Garamond"/>
          <w:sz w:val="28"/>
          <w:szCs w:val="28"/>
        </w:rPr>
        <w:t xml:space="preserve">singole </w:t>
      </w:r>
      <w:r w:rsidR="00D068A9">
        <w:rPr>
          <w:rFonts w:ascii="Garamond" w:hAnsi="Garamond"/>
          <w:sz w:val="28"/>
          <w:szCs w:val="28"/>
        </w:rPr>
        <w:t>fattispecie</w:t>
      </w:r>
      <w:r w:rsidR="00EA60D9" w:rsidRPr="00EA60D9">
        <w:rPr>
          <w:rFonts w:ascii="Garamond" w:hAnsi="Garamond"/>
          <w:sz w:val="28"/>
          <w:szCs w:val="28"/>
        </w:rPr>
        <w:t xml:space="preserve">. </w:t>
      </w:r>
    </w:p>
    <w:p w14:paraId="2560B108" w14:textId="77777777" w:rsidR="008E769B" w:rsidRPr="00A7053C" w:rsidRDefault="00FE7072" w:rsidP="008E769B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Né si può immaginare</w:t>
      </w:r>
      <w:r w:rsidR="00082147">
        <w:rPr>
          <w:rFonts w:ascii="Garamond" w:hAnsi="Garamond"/>
          <w:sz w:val="28"/>
          <w:szCs w:val="28"/>
        </w:rPr>
        <w:t xml:space="preserve"> di risolvere il drammatico problema di efficienza</w:t>
      </w:r>
      <w:r w:rsidR="008F724A">
        <w:rPr>
          <w:rFonts w:ascii="Garamond" w:hAnsi="Garamond"/>
          <w:sz w:val="28"/>
          <w:szCs w:val="28"/>
        </w:rPr>
        <w:t xml:space="preserve"> del processo penale esasperando derive produttivistiche della </w:t>
      </w:r>
      <w:r w:rsidR="00A7053C">
        <w:rPr>
          <w:rFonts w:ascii="Garamond" w:hAnsi="Garamond"/>
          <w:sz w:val="28"/>
          <w:szCs w:val="28"/>
        </w:rPr>
        <w:t>giurisdizione</w:t>
      </w:r>
      <w:r w:rsidR="008B608C">
        <w:rPr>
          <w:rFonts w:ascii="Garamond" w:hAnsi="Garamond"/>
          <w:sz w:val="28"/>
          <w:szCs w:val="28"/>
        </w:rPr>
        <w:t>.</w:t>
      </w:r>
      <w:r w:rsidR="008B608C" w:rsidRPr="008B608C">
        <w:rPr>
          <w:rFonts w:ascii="Garamond" w:hAnsi="Garamond"/>
          <w:sz w:val="28"/>
          <w:szCs w:val="28"/>
        </w:rPr>
        <w:t xml:space="preserve"> </w:t>
      </w:r>
      <w:r w:rsidR="00EE7332">
        <w:rPr>
          <w:rFonts w:ascii="Garamond" w:hAnsi="Garamond"/>
          <w:sz w:val="28"/>
          <w:szCs w:val="28"/>
        </w:rPr>
        <w:t xml:space="preserve">Da un lato, alcuni strumenti oggi in agenda (come il rafforzamento dell’Ufficio per il processo), possono realisticamente dare frutto soprattutto in tribunali </w:t>
      </w:r>
      <w:r w:rsidR="005A61CD">
        <w:rPr>
          <w:rFonts w:ascii="Garamond" w:hAnsi="Garamond"/>
          <w:sz w:val="28"/>
          <w:szCs w:val="28"/>
        </w:rPr>
        <w:t xml:space="preserve">medio-grandi (mentre in uffici di piccole dimensioni e in drammatiche condizioni di sovraccarico potranno garantire un minor </w:t>
      </w:r>
      <w:r w:rsidR="001F5039">
        <w:rPr>
          <w:rFonts w:ascii="Garamond" w:hAnsi="Garamond"/>
          <w:sz w:val="28"/>
          <w:szCs w:val="28"/>
        </w:rPr>
        <w:t>effetto in termini di efficienza</w:t>
      </w:r>
      <w:r w:rsidR="005A61CD">
        <w:rPr>
          <w:rFonts w:ascii="Garamond" w:hAnsi="Garamond"/>
          <w:sz w:val="28"/>
          <w:szCs w:val="28"/>
        </w:rPr>
        <w:t xml:space="preserve">). Dall’altro lato, perché non è realisticamente immaginabile </w:t>
      </w:r>
      <w:r w:rsidR="000B2895">
        <w:rPr>
          <w:rFonts w:ascii="Garamond" w:hAnsi="Garamond"/>
          <w:sz w:val="28"/>
          <w:szCs w:val="28"/>
        </w:rPr>
        <w:t xml:space="preserve">un ulteriore aumento della produttività dei magistrati. </w:t>
      </w:r>
      <w:r w:rsidR="008B608C">
        <w:rPr>
          <w:rFonts w:ascii="Garamond" w:hAnsi="Garamond"/>
          <w:sz w:val="28"/>
          <w:szCs w:val="28"/>
        </w:rPr>
        <w:t xml:space="preserve">Il rapporto CEPEJ rivela che oggi i magistrati italiani garantiscono già un livello di produttività molto elevato; esasperare gli aspetti produttivistici rischia di </w:t>
      </w:r>
      <w:r w:rsidR="00BB7609">
        <w:rPr>
          <w:rFonts w:ascii="Garamond" w:hAnsi="Garamond"/>
          <w:sz w:val="28"/>
          <w:szCs w:val="28"/>
        </w:rPr>
        <w:t>sacrificare sull’altare della velocità, la necessaria ricerca della verità processuale</w:t>
      </w:r>
      <w:r w:rsidR="00BA0168">
        <w:rPr>
          <w:rFonts w:ascii="Garamond" w:hAnsi="Garamond"/>
          <w:sz w:val="28"/>
          <w:szCs w:val="28"/>
        </w:rPr>
        <w:t xml:space="preserve">, inducendo anche comportamenti </w:t>
      </w:r>
      <w:r w:rsidR="00BA0168">
        <w:rPr>
          <w:rFonts w:ascii="Garamond" w:hAnsi="Garamond"/>
          <w:i/>
          <w:iCs/>
          <w:sz w:val="28"/>
          <w:szCs w:val="28"/>
        </w:rPr>
        <w:t>burocratici</w:t>
      </w:r>
      <w:r w:rsidR="00A7053C">
        <w:rPr>
          <w:rFonts w:ascii="Garamond" w:hAnsi="Garamond"/>
          <w:sz w:val="28"/>
          <w:szCs w:val="28"/>
        </w:rPr>
        <w:t xml:space="preserve">: </w:t>
      </w:r>
      <w:r w:rsidR="00166A80">
        <w:rPr>
          <w:rFonts w:ascii="Garamond" w:hAnsi="Garamond"/>
          <w:sz w:val="28"/>
          <w:szCs w:val="28"/>
        </w:rPr>
        <w:t xml:space="preserve">secondo la Carta costituzionale e la Convenzione </w:t>
      </w:r>
      <w:proofErr w:type="spellStart"/>
      <w:r w:rsidR="00166A80">
        <w:rPr>
          <w:rFonts w:ascii="Garamond" w:hAnsi="Garamond"/>
          <w:sz w:val="28"/>
          <w:szCs w:val="28"/>
        </w:rPr>
        <w:t>Edu</w:t>
      </w:r>
      <w:proofErr w:type="spellEnd"/>
      <w:r w:rsidR="00166A80">
        <w:rPr>
          <w:rFonts w:ascii="Garamond" w:hAnsi="Garamond"/>
          <w:sz w:val="28"/>
          <w:szCs w:val="28"/>
        </w:rPr>
        <w:t xml:space="preserve"> </w:t>
      </w:r>
      <w:r w:rsidR="00A7053C">
        <w:rPr>
          <w:rFonts w:ascii="Garamond" w:hAnsi="Garamond"/>
          <w:sz w:val="28"/>
          <w:szCs w:val="28"/>
        </w:rPr>
        <w:t xml:space="preserve">la durata del processo deve essere </w:t>
      </w:r>
      <w:r w:rsidR="00166A80">
        <w:rPr>
          <w:rFonts w:ascii="Garamond" w:hAnsi="Garamond"/>
          <w:sz w:val="28"/>
          <w:szCs w:val="28"/>
        </w:rPr>
        <w:t xml:space="preserve">non necessariamente breve, ma </w:t>
      </w:r>
      <w:r w:rsidR="00A7053C">
        <w:rPr>
          <w:rFonts w:ascii="Garamond" w:hAnsi="Garamond"/>
          <w:i/>
          <w:iCs/>
          <w:sz w:val="28"/>
          <w:szCs w:val="28"/>
        </w:rPr>
        <w:t>ragionevole</w:t>
      </w:r>
      <w:r w:rsidR="00A7053C">
        <w:rPr>
          <w:rFonts w:ascii="Garamond" w:hAnsi="Garamond"/>
          <w:sz w:val="28"/>
          <w:szCs w:val="28"/>
        </w:rPr>
        <w:t>, ossia</w:t>
      </w:r>
      <w:r w:rsidR="00484BD3">
        <w:rPr>
          <w:rFonts w:ascii="Garamond" w:hAnsi="Garamond"/>
          <w:sz w:val="28"/>
          <w:szCs w:val="28"/>
        </w:rPr>
        <w:t xml:space="preserve"> adeguata alla complessità dei casi della vita che vengono sottoposti all’attenzione dei tribunali.</w:t>
      </w:r>
      <w:r w:rsidR="00E7323D">
        <w:rPr>
          <w:rFonts w:ascii="Garamond" w:hAnsi="Garamond"/>
          <w:sz w:val="28"/>
          <w:szCs w:val="28"/>
        </w:rPr>
        <w:t xml:space="preserve"> </w:t>
      </w:r>
    </w:p>
    <w:p w14:paraId="09744512" w14:textId="77777777" w:rsidR="004E0B0B" w:rsidRDefault="00764976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Ma, come detto, </w:t>
      </w:r>
      <w:r w:rsidR="000B2895">
        <w:rPr>
          <w:rFonts w:ascii="Garamond" w:hAnsi="Garamond"/>
          <w:sz w:val="28"/>
          <w:szCs w:val="28"/>
        </w:rPr>
        <w:t>i risultati che la giurisdizione</w:t>
      </w:r>
      <w:r w:rsidR="00AD3763">
        <w:rPr>
          <w:rFonts w:ascii="Garamond" w:hAnsi="Garamond"/>
          <w:sz w:val="28"/>
          <w:szCs w:val="28"/>
        </w:rPr>
        <w:t xml:space="preserve"> offre al Paese</w:t>
      </w:r>
      <w:r w:rsidR="000B2895">
        <w:rPr>
          <w:rFonts w:ascii="Garamond" w:hAnsi="Garamond"/>
          <w:sz w:val="28"/>
          <w:szCs w:val="28"/>
        </w:rPr>
        <w:t xml:space="preserve"> sono </w:t>
      </w:r>
      <w:r w:rsidR="00E465FE">
        <w:rPr>
          <w:rFonts w:ascii="Garamond" w:hAnsi="Garamond"/>
          <w:sz w:val="28"/>
          <w:szCs w:val="28"/>
        </w:rPr>
        <w:t xml:space="preserve">drammatici e </w:t>
      </w:r>
      <w:r>
        <w:rPr>
          <w:rFonts w:ascii="Garamond" w:hAnsi="Garamond"/>
          <w:sz w:val="28"/>
          <w:szCs w:val="28"/>
        </w:rPr>
        <w:t>cambiare si deve.</w:t>
      </w:r>
    </w:p>
    <w:p w14:paraId="4C8A69C1" w14:textId="77777777" w:rsidR="00764976" w:rsidRDefault="0028640C" w:rsidP="004B01FA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Il testo degli emendamenti governativi formulati in relazione al DDL sulla riforma del processo penale </w:t>
      </w:r>
      <w:r w:rsidR="0039744B">
        <w:rPr>
          <w:rFonts w:ascii="Garamond" w:hAnsi="Garamond"/>
          <w:sz w:val="28"/>
          <w:szCs w:val="28"/>
        </w:rPr>
        <w:t>(AC-2435) propone numerose modifiche “di sistema”. Ciascun intervento è suscettibile di rilievi</w:t>
      </w:r>
      <w:r w:rsidR="00005C5C">
        <w:rPr>
          <w:rFonts w:ascii="Garamond" w:hAnsi="Garamond"/>
          <w:sz w:val="28"/>
          <w:szCs w:val="28"/>
        </w:rPr>
        <w:t>. Tuttavia, la sottolineatura delle varie problematicità non deve far perdere di vista il quadro di insieme</w:t>
      </w:r>
      <w:r w:rsidR="00EB3B8F">
        <w:rPr>
          <w:rFonts w:ascii="Garamond" w:hAnsi="Garamond"/>
          <w:sz w:val="28"/>
          <w:szCs w:val="28"/>
        </w:rPr>
        <w:t>, al fine di verificare se si tratti di interventi che rispondono alle esigenze dell’odierno sistema penale.</w:t>
      </w:r>
    </w:p>
    <w:p w14:paraId="7507DD03" w14:textId="77777777" w:rsidR="00D03E2E" w:rsidRDefault="00D03E2E" w:rsidP="00D03E2E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Nel </w:t>
      </w:r>
      <w:r w:rsidR="00624D71">
        <w:rPr>
          <w:rFonts w:ascii="Garamond" w:hAnsi="Garamond"/>
          <w:sz w:val="28"/>
          <w:szCs w:val="28"/>
        </w:rPr>
        <w:t xml:space="preserve">condividere molti dei </w:t>
      </w:r>
      <w:r w:rsidR="00BA501B">
        <w:rPr>
          <w:rFonts w:ascii="Garamond" w:hAnsi="Garamond"/>
          <w:sz w:val="28"/>
          <w:szCs w:val="28"/>
        </w:rPr>
        <w:t>rilievi già effettuati nell’equilibrato documento</w:t>
      </w:r>
      <w:r w:rsidR="00E93309">
        <w:rPr>
          <w:rFonts w:ascii="Garamond" w:hAnsi="Garamond"/>
          <w:sz w:val="28"/>
          <w:szCs w:val="28"/>
        </w:rPr>
        <w:t xml:space="preserve"> </w:t>
      </w:r>
      <w:r w:rsidR="003D739F">
        <w:rPr>
          <w:rFonts w:ascii="Garamond" w:hAnsi="Garamond"/>
          <w:sz w:val="28"/>
          <w:szCs w:val="28"/>
        </w:rPr>
        <w:t>de</w:t>
      </w:r>
      <w:r w:rsidR="00E93309">
        <w:rPr>
          <w:rFonts w:ascii="Garamond" w:hAnsi="Garamond"/>
          <w:sz w:val="28"/>
          <w:szCs w:val="28"/>
        </w:rPr>
        <w:t>l 19 luglio 2021 dalla Giunta esecutiva centrale dell’ANM</w:t>
      </w:r>
      <w:r w:rsidR="001916B2">
        <w:rPr>
          <w:rFonts w:ascii="Garamond" w:hAnsi="Garamond"/>
          <w:sz w:val="28"/>
          <w:szCs w:val="28"/>
        </w:rPr>
        <w:t xml:space="preserve"> (e nel prendere atto del fatto che il Governo ha rinunciato a coltivare alcuni strumenti di deflazione </w:t>
      </w:r>
      <w:r w:rsidR="007D676D">
        <w:rPr>
          <w:rFonts w:ascii="Garamond" w:hAnsi="Garamond"/>
          <w:sz w:val="28"/>
          <w:szCs w:val="28"/>
        </w:rPr>
        <w:t xml:space="preserve">– come la c.d. </w:t>
      </w:r>
      <w:r w:rsidR="007D676D" w:rsidRPr="007D676D">
        <w:rPr>
          <w:rFonts w:ascii="Garamond" w:hAnsi="Garamond"/>
          <w:i/>
          <w:iCs/>
          <w:sz w:val="28"/>
          <w:szCs w:val="28"/>
        </w:rPr>
        <w:t>archiviazione meritata</w:t>
      </w:r>
      <w:r w:rsidR="007D676D">
        <w:rPr>
          <w:rFonts w:ascii="Garamond" w:hAnsi="Garamond"/>
          <w:sz w:val="28"/>
          <w:szCs w:val="28"/>
        </w:rPr>
        <w:t xml:space="preserve"> – </w:t>
      </w:r>
      <w:r w:rsidR="001916B2">
        <w:rPr>
          <w:rFonts w:ascii="Garamond" w:hAnsi="Garamond"/>
          <w:sz w:val="28"/>
          <w:szCs w:val="28"/>
        </w:rPr>
        <w:t>proposti dalla Commissione Lattanzi</w:t>
      </w:r>
      <w:r w:rsidR="007D676D">
        <w:rPr>
          <w:rFonts w:ascii="Garamond" w:hAnsi="Garamond"/>
          <w:sz w:val="28"/>
          <w:szCs w:val="28"/>
        </w:rPr>
        <w:t xml:space="preserve"> o li ha depotenziati)</w:t>
      </w:r>
      <w:r w:rsidR="00624D71">
        <w:rPr>
          <w:rFonts w:ascii="Garamond" w:hAnsi="Garamond"/>
          <w:sz w:val="28"/>
          <w:szCs w:val="28"/>
        </w:rPr>
        <w:t>, qui si pone l’accento</w:t>
      </w:r>
      <w:r w:rsidR="00D25A4E">
        <w:rPr>
          <w:rFonts w:ascii="Garamond" w:hAnsi="Garamond"/>
          <w:sz w:val="28"/>
          <w:szCs w:val="28"/>
        </w:rPr>
        <w:t xml:space="preserve"> su alcuni aspetti</w:t>
      </w:r>
      <w:r w:rsidR="00DA2CFD">
        <w:rPr>
          <w:rFonts w:ascii="Garamond" w:hAnsi="Garamond"/>
          <w:sz w:val="28"/>
          <w:szCs w:val="28"/>
        </w:rPr>
        <w:t xml:space="preserve"> tra i delicati temi che la riforma pone</w:t>
      </w:r>
      <w:r w:rsidR="00E93309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14:paraId="49B6BC5E" w14:textId="77777777" w:rsidR="00B60584" w:rsidRDefault="00B60584" w:rsidP="00B60584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2653ACB" w14:textId="77777777" w:rsidR="00B60584" w:rsidRPr="00B60584" w:rsidRDefault="00B60584" w:rsidP="00B60584">
      <w:pPr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60584">
        <w:rPr>
          <w:rFonts w:ascii="Garamond" w:hAnsi="Garamond"/>
          <w:i/>
          <w:sz w:val="28"/>
          <w:szCs w:val="28"/>
        </w:rPr>
        <w:lastRenderedPageBreak/>
        <w:t>L’improcedibilità</w:t>
      </w:r>
      <w:r w:rsidR="0033506D">
        <w:rPr>
          <w:rFonts w:ascii="Garamond" w:hAnsi="Garamond"/>
          <w:i/>
          <w:sz w:val="28"/>
          <w:szCs w:val="28"/>
        </w:rPr>
        <w:t>: un “rimedio</w:t>
      </w:r>
      <w:r w:rsidR="008B7366">
        <w:rPr>
          <w:rFonts w:ascii="Garamond" w:hAnsi="Garamond"/>
          <w:i/>
          <w:sz w:val="28"/>
          <w:szCs w:val="28"/>
        </w:rPr>
        <w:t xml:space="preserve"> rigido”, inadatto a sopperire a</w:t>
      </w:r>
      <w:r w:rsidR="0033506D">
        <w:rPr>
          <w:rFonts w:ascii="Garamond" w:hAnsi="Garamond"/>
          <w:i/>
          <w:sz w:val="28"/>
          <w:szCs w:val="28"/>
        </w:rPr>
        <w:t>l blocco dei termini di</w:t>
      </w:r>
      <w:r>
        <w:rPr>
          <w:rFonts w:ascii="Garamond" w:hAnsi="Garamond"/>
          <w:i/>
          <w:sz w:val="28"/>
          <w:szCs w:val="28"/>
        </w:rPr>
        <w:t xml:space="preserve"> prescrizione</w:t>
      </w:r>
      <w:r w:rsidR="0033506D">
        <w:rPr>
          <w:rFonts w:ascii="Garamond" w:hAnsi="Garamond"/>
          <w:i/>
          <w:sz w:val="28"/>
          <w:szCs w:val="28"/>
        </w:rPr>
        <w:t>; v</w:t>
      </w:r>
      <w:r w:rsidR="0000131F">
        <w:rPr>
          <w:rFonts w:ascii="Garamond" w:hAnsi="Garamond"/>
          <w:i/>
          <w:sz w:val="28"/>
          <w:szCs w:val="28"/>
        </w:rPr>
        <w:t>erso nuove condanne dell’Italia</w:t>
      </w:r>
      <w:r w:rsidR="0033506D">
        <w:rPr>
          <w:rFonts w:ascii="Garamond" w:hAnsi="Garamond"/>
          <w:i/>
          <w:sz w:val="28"/>
          <w:szCs w:val="28"/>
        </w:rPr>
        <w:t xml:space="preserve"> in sede e</w:t>
      </w:r>
      <w:r w:rsidR="0000131F">
        <w:rPr>
          <w:rFonts w:ascii="Garamond" w:hAnsi="Garamond"/>
          <w:i/>
          <w:sz w:val="28"/>
          <w:szCs w:val="28"/>
        </w:rPr>
        <w:t>uropea</w:t>
      </w:r>
      <w:r w:rsidR="0033506D">
        <w:rPr>
          <w:rFonts w:ascii="Garamond" w:hAnsi="Garamond"/>
          <w:i/>
          <w:sz w:val="28"/>
          <w:szCs w:val="28"/>
        </w:rPr>
        <w:t xml:space="preserve"> per </w:t>
      </w:r>
      <w:r w:rsidR="004B1E66">
        <w:rPr>
          <w:rFonts w:ascii="Garamond" w:hAnsi="Garamond"/>
          <w:i/>
          <w:sz w:val="28"/>
          <w:szCs w:val="28"/>
        </w:rPr>
        <w:t>l’</w:t>
      </w:r>
      <w:r w:rsidR="0033506D">
        <w:rPr>
          <w:rFonts w:ascii="Garamond" w:hAnsi="Garamond"/>
          <w:i/>
          <w:sz w:val="28"/>
          <w:szCs w:val="28"/>
        </w:rPr>
        <w:t>incapaci</w:t>
      </w:r>
      <w:r w:rsidR="004B1E66">
        <w:rPr>
          <w:rFonts w:ascii="Garamond" w:hAnsi="Garamond"/>
          <w:i/>
          <w:sz w:val="28"/>
          <w:szCs w:val="28"/>
        </w:rPr>
        <w:t>tà</w:t>
      </w:r>
      <w:r w:rsidR="0033506D">
        <w:rPr>
          <w:rFonts w:ascii="Garamond" w:hAnsi="Garamond"/>
          <w:i/>
          <w:sz w:val="28"/>
          <w:szCs w:val="28"/>
        </w:rPr>
        <w:t xml:space="preserve"> di dare risposte giurisdizionali a gravi fattispecie di reato?</w:t>
      </w:r>
      <w:r w:rsidR="0000131F">
        <w:rPr>
          <w:rFonts w:ascii="Garamond" w:hAnsi="Garamond"/>
          <w:i/>
          <w:sz w:val="28"/>
          <w:szCs w:val="28"/>
        </w:rPr>
        <w:t xml:space="preserve"> </w:t>
      </w:r>
    </w:p>
    <w:p w14:paraId="008D2CA8" w14:textId="77777777" w:rsidR="000B3DFF" w:rsidRDefault="00FD3BC8" w:rsidP="000B3DFF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disciplina dell’improcedibilità dell’azione penale</w:t>
      </w:r>
      <w:r w:rsidR="005D3074">
        <w:rPr>
          <w:rFonts w:ascii="Garamond" w:hAnsi="Garamond"/>
          <w:sz w:val="28"/>
          <w:szCs w:val="28"/>
        </w:rPr>
        <w:t>: l</w:t>
      </w:r>
      <w:r w:rsidR="00884A61">
        <w:rPr>
          <w:rFonts w:ascii="Garamond" w:hAnsi="Garamond"/>
          <w:sz w:val="28"/>
          <w:szCs w:val="28"/>
        </w:rPr>
        <w:t>a previsione che l’azione penale possa estinguersi</w:t>
      </w:r>
      <w:r w:rsidR="00480A29">
        <w:rPr>
          <w:rFonts w:ascii="Garamond" w:hAnsi="Garamond"/>
          <w:sz w:val="28"/>
          <w:szCs w:val="28"/>
        </w:rPr>
        <w:t xml:space="preserve"> ove – decorso un termine “rigido” – non vengano emesse le sentenze che definiscono i giudizi di impugnazione</w:t>
      </w:r>
      <w:r w:rsidR="000B3DFF">
        <w:rPr>
          <w:rFonts w:ascii="Garamond" w:hAnsi="Garamond"/>
          <w:sz w:val="28"/>
          <w:szCs w:val="28"/>
        </w:rPr>
        <w:t xml:space="preserve"> è una previsione che: (a) si pone in possibile</w:t>
      </w:r>
      <w:r w:rsidR="000B3DFF" w:rsidRPr="000B3DFF">
        <w:rPr>
          <w:rFonts w:ascii="Garamond" w:hAnsi="Garamond"/>
          <w:sz w:val="28"/>
          <w:szCs w:val="28"/>
        </w:rPr>
        <w:t xml:space="preserve"> frizione con </w:t>
      </w:r>
      <w:r w:rsidR="000B3DFF">
        <w:rPr>
          <w:rFonts w:ascii="Garamond" w:hAnsi="Garamond"/>
          <w:sz w:val="28"/>
          <w:szCs w:val="28"/>
        </w:rPr>
        <w:t xml:space="preserve">il dettato dell’art. </w:t>
      </w:r>
      <w:r w:rsidR="000B3DFF" w:rsidRPr="000B3DFF">
        <w:rPr>
          <w:rFonts w:ascii="Garamond" w:hAnsi="Garamond"/>
          <w:sz w:val="28"/>
          <w:szCs w:val="28"/>
        </w:rPr>
        <w:t xml:space="preserve">112 </w:t>
      </w:r>
      <w:proofErr w:type="spellStart"/>
      <w:r w:rsidR="000B3DFF" w:rsidRPr="000B3DFF">
        <w:rPr>
          <w:rFonts w:ascii="Garamond" w:hAnsi="Garamond"/>
          <w:sz w:val="28"/>
          <w:szCs w:val="28"/>
        </w:rPr>
        <w:t>Cost</w:t>
      </w:r>
      <w:proofErr w:type="spellEnd"/>
      <w:r w:rsidR="000B3DFF" w:rsidRPr="000B3DFF">
        <w:rPr>
          <w:rFonts w:ascii="Garamond" w:hAnsi="Garamond"/>
          <w:sz w:val="28"/>
          <w:szCs w:val="28"/>
        </w:rPr>
        <w:t xml:space="preserve">. (si dichiara </w:t>
      </w:r>
      <w:r w:rsidR="005F5A08">
        <w:rPr>
          <w:rFonts w:ascii="Garamond" w:hAnsi="Garamond"/>
          <w:sz w:val="28"/>
          <w:szCs w:val="28"/>
        </w:rPr>
        <w:t xml:space="preserve">– in un sistema ad azione penale obbligatoria – </w:t>
      </w:r>
      <w:r w:rsidR="000B3DFF" w:rsidRPr="000B3DFF">
        <w:rPr>
          <w:rFonts w:ascii="Garamond" w:hAnsi="Garamond"/>
          <w:sz w:val="28"/>
          <w:szCs w:val="28"/>
        </w:rPr>
        <w:t>improcedibile l’azione penale per un reato che non è estinto)</w:t>
      </w:r>
      <w:r w:rsidR="005F5A08">
        <w:rPr>
          <w:rFonts w:ascii="Garamond" w:hAnsi="Garamond"/>
          <w:sz w:val="28"/>
          <w:szCs w:val="28"/>
        </w:rPr>
        <w:t xml:space="preserve">; (b) si rivela potenzialmente irragionevole, perché “colpisce” con </w:t>
      </w:r>
      <w:r w:rsidR="00230807">
        <w:rPr>
          <w:rFonts w:ascii="Garamond" w:hAnsi="Garamond"/>
          <w:sz w:val="28"/>
          <w:szCs w:val="28"/>
        </w:rPr>
        <w:t xml:space="preserve">un’unica e </w:t>
      </w:r>
      <w:r w:rsidR="005352A1">
        <w:rPr>
          <w:rFonts w:ascii="Garamond" w:hAnsi="Garamond"/>
          <w:sz w:val="28"/>
          <w:szCs w:val="28"/>
        </w:rPr>
        <w:t xml:space="preserve">rigida </w:t>
      </w:r>
      <w:r w:rsidR="005F5A08">
        <w:rPr>
          <w:rFonts w:ascii="Garamond" w:hAnsi="Garamond"/>
          <w:sz w:val="28"/>
          <w:szCs w:val="28"/>
        </w:rPr>
        <w:t xml:space="preserve">sanzione </w:t>
      </w:r>
      <w:r w:rsidR="00230807">
        <w:rPr>
          <w:rFonts w:ascii="Garamond" w:hAnsi="Garamond"/>
          <w:sz w:val="28"/>
          <w:szCs w:val="28"/>
        </w:rPr>
        <w:t xml:space="preserve">processuale </w:t>
      </w:r>
      <w:r w:rsidR="005F5A08">
        <w:rPr>
          <w:rFonts w:ascii="Garamond" w:hAnsi="Garamond"/>
          <w:sz w:val="28"/>
          <w:szCs w:val="28"/>
        </w:rPr>
        <w:t>(l’improcedibilità) situazioni molto diverse tra loro</w:t>
      </w:r>
      <w:r w:rsidR="00023319">
        <w:rPr>
          <w:rFonts w:ascii="Garamond" w:hAnsi="Garamond"/>
          <w:sz w:val="28"/>
          <w:szCs w:val="28"/>
        </w:rPr>
        <w:t>, trascurando</w:t>
      </w:r>
      <w:r w:rsidR="00E465FE">
        <w:rPr>
          <w:rFonts w:ascii="Garamond" w:hAnsi="Garamond"/>
          <w:sz w:val="28"/>
          <w:szCs w:val="28"/>
        </w:rPr>
        <w:t>, per esempio,</w:t>
      </w:r>
      <w:r w:rsidR="00023319">
        <w:rPr>
          <w:rFonts w:ascii="Garamond" w:hAnsi="Garamond"/>
          <w:sz w:val="28"/>
          <w:szCs w:val="28"/>
        </w:rPr>
        <w:t xml:space="preserve"> </w:t>
      </w:r>
      <w:r w:rsidR="003235FE">
        <w:rPr>
          <w:rFonts w:ascii="Garamond" w:hAnsi="Garamond"/>
          <w:sz w:val="28"/>
          <w:szCs w:val="28"/>
        </w:rPr>
        <w:t>la diversa gravità dei reati</w:t>
      </w:r>
      <w:r w:rsidR="00E465FE">
        <w:rPr>
          <w:rFonts w:ascii="Garamond" w:hAnsi="Garamond"/>
          <w:sz w:val="28"/>
          <w:szCs w:val="28"/>
        </w:rPr>
        <w:t xml:space="preserve"> o la diversa complessità degli accertamenti da svolgere</w:t>
      </w:r>
      <w:r w:rsidR="003235FE">
        <w:rPr>
          <w:rFonts w:ascii="Garamond" w:hAnsi="Garamond"/>
          <w:sz w:val="28"/>
          <w:szCs w:val="28"/>
        </w:rPr>
        <w:t>; (c)</w:t>
      </w:r>
      <w:r w:rsidR="00655262">
        <w:rPr>
          <w:rFonts w:ascii="Garamond" w:hAnsi="Garamond"/>
          <w:sz w:val="28"/>
          <w:szCs w:val="28"/>
        </w:rPr>
        <w:t xml:space="preserve"> diminuisce anche la </w:t>
      </w:r>
      <w:r w:rsidR="00655262">
        <w:rPr>
          <w:rFonts w:ascii="Garamond" w:hAnsi="Garamond"/>
          <w:i/>
          <w:iCs/>
          <w:sz w:val="28"/>
          <w:szCs w:val="28"/>
        </w:rPr>
        <w:t xml:space="preserve">qualità </w:t>
      </w:r>
      <w:r w:rsidR="00655262">
        <w:rPr>
          <w:rFonts w:ascii="Garamond" w:hAnsi="Garamond"/>
          <w:sz w:val="28"/>
          <w:szCs w:val="28"/>
        </w:rPr>
        <w:t>delle garanzie delle persone sottoposte a giudizio (</w:t>
      </w:r>
      <w:r w:rsidR="00335825">
        <w:rPr>
          <w:rFonts w:ascii="Garamond" w:hAnsi="Garamond"/>
          <w:sz w:val="28"/>
          <w:szCs w:val="28"/>
        </w:rPr>
        <w:t xml:space="preserve">posto che le garanzie proprie dell’art. 25, co. 2, </w:t>
      </w:r>
      <w:proofErr w:type="spellStart"/>
      <w:r w:rsidR="00335825">
        <w:rPr>
          <w:rFonts w:ascii="Garamond" w:hAnsi="Garamond"/>
          <w:sz w:val="28"/>
          <w:szCs w:val="28"/>
        </w:rPr>
        <w:t>Cost</w:t>
      </w:r>
      <w:proofErr w:type="spellEnd"/>
      <w:r w:rsidR="00335825">
        <w:rPr>
          <w:rFonts w:ascii="Garamond" w:hAnsi="Garamond"/>
          <w:sz w:val="28"/>
          <w:szCs w:val="28"/>
        </w:rPr>
        <w:t>. rilevano per la prescrizione come</w:t>
      </w:r>
      <w:r w:rsidR="00DD3B4D">
        <w:rPr>
          <w:rFonts w:ascii="Garamond" w:hAnsi="Garamond"/>
          <w:sz w:val="28"/>
          <w:szCs w:val="28"/>
        </w:rPr>
        <w:t xml:space="preserve"> istituto di diritto sostanziale); (d) rischia di </w:t>
      </w:r>
      <w:r w:rsidR="00981FA9">
        <w:rPr>
          <w:rFonts w:ascii="Garamond" w:hAnsi="Garamond"/>
          <w:sz w:val="28"/>
          <w:szCs w:val="28"/>
        </w:rPr>
        <w:t>sacrificare</w:t>
      </w:r>
      <w:r w:rsidR="00DD3B4D">
        <w:rPr>
          <w:rFonts w:ascii="Garamond" w:hAnsi="Garamond"/>
          <w:sz w:val="28"/>
          <w:szCs w:val="28"/>
        </w:rPr>
        <w:t xml:space="preserve"> – non tanto il diritto dell’imputato a veder accertata la propria innocenza</w:t>
      </w:r>
      <w:r w:rsidR="00981FA9">
        <w:rPr>
          <w:rFonts w:ascii="Garamond" w:hAnsi="Garamond"/>
          <w:sz w:val="28"/>
          <w:szCs w:val="28"/>
        </w:rPr>
        <w:t xml:space="preserve"> (essendo l’improcedibilità </w:t>
      </w:r>
      <w:r w:rsidR="000364D2">
        <w:rPr>
          <w:rFonts w:ascii="Garamond" w:hAnsi="Garamond"/>
          <w:sz w:val="28"/>
          <w:szCs w:val="28"/>
        </w:rPr>
        <w:t xml:space="preserve">comunque </w:t>
      </w:r>
      <w:r w:rsidR="00981FA9">
        <w:rPr>
          <w:rFonts w:ascii="Garamond" w:hAnsi="Garamond"/>
          <w:sz w:val="28"/>
          <w:szCs w:val="28"/>
        </w:rPr>
        <w:t>rinunciabile) – quanto</w:t>
      </w:r>
      <w:r w:rsidR="00023319">
        <w:rPr>
          <w:rFonts w:ascii="Garamond" w:hAnsi="Garamond"/>
          <w:sz w:val="28"/>
          <w:szCs w:val="28"/>
        </w:rPr>
        <w:t xml:space="preserve"> </w:t>
      </w:r>
      <w:r w:rsidR="006B4AD8">
        <w:rPr>
          <w:rFonts w:ascii="Garamond" w:hAnsi="Garamond"/>
          <w:sz w:val="28"/>
          <w:szCs w:val="28"/>
        </w:rPr>
        <w:t>i diritti delle persone offese (che, secondo il diritto UE, debbono veder assicurato uno spazio di tutela anche in sede penale)</w:t>
      </w:r>
      <w:r w:rsidR="00A3155A">
        <w:rPr>
          <w:rFonts w:ascii="Garamond" w:hAnsi="Garamond"/>
          <w:sz w:val="28"/>
          <w:szCs w:val="28"/>
        </w:rPr>
        <w:t xml:space="preserve">; (d) </w:t>
      </w:r>
      <w:r w:rsidR="0061733B">
        <w:rPr>
          <w:rFonts w:ascii="Garamond" w:hAnsi="Garamond"/>
          <w:sz w:val="28"/>
          <w:szCs w:val="28"/>
        </w:rPr>
        <w:t xml:space="preserve">soprattutto, </w:t>
      </w:r>
      <w:r w:rsidR="00C169CE">
        <w:rPr>
          <w:rFonts w:ascii="Garamond" w:hAnsi="Garamond"/>
          <w:sz w:val="28"/>
          <w:szCs w:val="28"/>
        </w:rPr>
        <w:t xml:space="preserve">è concreto il rischio che </w:t>
      </w:r>
      <w:r w:rsidR="00A3155A">
        <w:rPr>
          <w:rFonts w:ascii="Garamond" w:hAnsi="Garamond"/>
          <w:sz w:val="28"/>
          <w:szCs w:val="28"/>
        </w:rPr>
        <w:t>il miraggio di poter fruire della causa estintiva dell’azione penale</w:t>
      </w:r>
      <w:r w:rsidR="00DA160A">
        <w:rPr>
          <w:rFonts w:ascii="Garamond" w:hAnsi="Garamond"/>
          <w:sz w:val="28"/>
          <w:szCs w:val="28"/>
        </w:rPr>
        <w:t xml:space="preserve">, </w:t>
      </w:r>
      <w:r w:rsidR="00C169CE">
        <w:rPr>
          <w:rFonts w:ascii="Garamond" w:hAnsi="Garamond"/>
          <w:sz w:val="28"/>
          <w:szCs w:val="28"/>
        </w:rPr>
        <w:t>finisca con l’</w:t>
      </w:r>
      <w:r w:rsidR="00DA160A">
        <w:rPr>
          <w:rFonts w:ascii="Garamond" w:hAnsi="Garamond"/>
          <w:sz w:val="28"/>
          <w:szCs w:val="28"/>
        </w:rPr>
        <w:t>incentivare la proposizioni di</w:t>
      </w:r>
      <w:r w:rsidR="000B3DFF" w:rsidRPr="000B3DFF">
        <w:rPr>
          <w:rFonts w:ascii="Garamond" w:hAnsi="Garamond"/>
          <w:sz w:val="28"/>
          <w:szCs w:val="28"/>
        </w:rPr>
        <w:t xml:space="preserve"> impugnazioni </w:t>
      </w:r>
      <w:r w:rsidR="00C169CE">
        <w:rPr>
          <w:rFonts w:ascii="Garamond" w:hAnsi="Garamond"/>
          <w:sz w:val="28"/>
          <w:szCs w:val="28"/>
        </w:rPr>
        <w:t xml:space="preserve">meramente </w:t>
      </w:r>
      <w:r w:rsidR="000B3DFF" w:rsidRPr="000B3DFF">
        <w:rPr>
          <w:rFonts w:ascii="Garamond" w:hAnsi="Garamond"/>
          <w:sz w:val="28"/>
          <w:szCs w:val="28"/>
        </w:rPr>
        <w:t>dilatorie (</w:t>
      </w:r>
      <w:r w:rsidR="00191D6B">
        <w:rPr>
          <w:rFonts w:ascii="Garamond" w:hAnsi="Garamond"/>
          <w:sz w:val="28"/>
          <w:szCs w:val="28"/>
        </w:rPr>
        <w:t xml:space="preserve">con il </w:t>
      </w:r>
      <w:r w:rsidR="00456489">
        <w:rPr>
          <w:rFonts w:ascii="Garamond" w:hAnsi="Garamond"/>
          <w:sz w:val="28"/>
          <w:szCs w:val="28"/>
        </w:rPr>
        <w:t xml:space="preserve">risultato di </w:t>
      </w:r>
      <w:r w:rsidR="000B3DFF" w:rsidRPr="000B3DFF">
        <w:rPr>
          <w:rFonts w:ascii="Garamond" w:hAnsi="Garamond"/>
          <w:sz w:val="28"/>
          <w:szCs w:val="28"/>
        </w:rPr>
        <w:t>frustr</w:t>
      </w:r>
      <w:r w:rsidR="00191D6B">
        <w:rPr>
          <w:rFonts w:ascii="Garamond" w:hAnsi="Garamond"/>
          <w:sz w:val="28"/>
          <w:szCs w:val="28"/>
        </w:rPr>
        <w:t xml:space="preserve">are l’efficacia degli altri meccanismi </w:t>
      </w:r>
      <w:r w:rsidR="002542FF">
        <w:rPr>
          <w:rFonts w:ascii="Garamond" w:hAnsi="Garamond"/>
          <w:sz w:val="28"/>
          <w:szCs w:val="28"/>
        </w:rPr>
        <w:t>acceleratori e deflattivi</w:t>
      </w:r>
      <w:r w:rsidR="000B3DFF" w:rsidRPr="000B3DFF">
        <w:rPr>
          <w:rFonts w:ascii="Garamond" w:hAnsi="Garamond"/>
          <w:sz w:val="28"/>
          <w:szCs w:val="28"/>
        </w:rPr>
        <w:t xml:space="preserve"> introdotti </w:t>
      </w:r>
      <w:r w:rsidR="000364D2">
        <w:rPr>
          <w:rFonts w:ascii="Garamond" w:hAnsi="Garamond"/>
          <w:sz w:val="28"/>
          <w:szCs w:val="28"/>
        </w:rPr>
        <w:t xml:space="preserve">che sono introdotti da </w:t>
      </w:r>
      <w:r w:rsidR="000B3DFF" w:rsidRPr="000B3DFF">
        <w:rPr>
          <w:rFonts w:ascii="Garamond" w:hAnsi="Garamond"/>
          <w:sz w:val="28"/>
          <w:szCs w:val="28"/>
        </w:rPr>
        <w:t>altre disposizioni</w:t>
      </w:r>
      <w:r w:rsidR="002542FF">
        <w:rPr>
          <w:rFonts w:ascii="Garamond" w:hAnsi="Garamond"/>
          <w:sz w:val="28"/>
          <w:szCs w:val="28"/>
        </w:rPr>
        <w:t xml:space="preserve"> del disegno di legge di riforma</w:t>
      </w:r>
      <w:r w:rsidR="000B3DFF" w:rsidRPr="000B3DFF">
        <w:rPr>
          <w:rFonts w:ascii="Garamond" w:hAnsi="Garamond"/>
          <w:sz w:val="28"/>
          <w:szCs w:val="28"/>
        </w:rPr>
        <w:t>)</w:t>
      </w:r>
      <w:r w:rsidR="002542FF">
        <w:rPr>
          <w:rFonts w:ascii="Garamond" w:hAnsi="Garamond"/>
          <w:sz w:val="28"/>
          <w:szCs w:val="28"/>
        </w:rPr>
        <w:t>.</w:t>
      </w:r>
      <w:r w:rsidR="00AA4759">
        <w:rPr>
          <w:rFonts w:ascii="Garamond" w:hAnsi="Garamond"/>
          <w:sz w:val="28"/>
          <w:szCs w:val="28"/>
        </w:rPr>
        <w:t xml:space="preserve"> Meno controindicazioni presentavano le proposte formulate dalla Commissione Lattanzi, che aveva immaginato un sistema </w:t>
      </w:r>
      <w:r w:rsidR="003E1BBE">
        <w:rPr>
          <w:rFonts w:ascii="Garamond" w:hAnsi="Garamond"/>
          <w:sz w:val="28"/>
          <w:szCs w:val="28"/>
        </w:rPr>
        <w:t xml:space="preserve">imperniato su meccanismi di incentivi e disincentivi </w:t>
      </w:r>
      <w:r w:rsidR="00DF6341">
        <w:rPr>
          <w:rFonts w:ascii="Garamond" w:hAnsi="Garamond"/>
          <w:sz w:val="28"/>
          <w:szCs w:val="28"/>
        </w:rPr>
        <w:t xml:space="preserve">rivolti a tutti gli attori processuali, </w:t>
      </w:r>
      <w:r w:rsidR="00804555">
        <w:rPr>
          <w:rFonts w:ascii="Garamond" w:hAnsi="Garamond"/>
          <w:sz w:val="28"/>
          <w:szCs w:val="28"/>
        </w:rPr>
        <w:t>potenzialmente capaci di assicurare un risultato (la durata ragionevole del processo), senza incentivare impugnazioni puramente dilatorie (che</w:t>
      </w:r>
      <w:r w:rsidR="00DE41A1">
        <w:rPr>
          <w:rFonts w:ascii="Garamond" w:hAnsi="Garamond"/>
          <w:sz w:val="28"/>
          <w:szCs w:val="28"/>
        </w:rPr>
        <w:t xml:space="preserve"> – l’esperienza insegna –</w:t>
      </w:r>
      <w:r w:rsidR="00A871D3">
        <w:rPr>
          <w:rFonts w:ascii="Garamond" w:hAnsi="Garamond"/>
          <w:sz w:val="28"/>
          <w:szCs w:val="28"/>
        </w:rPr>
        <w:t xml:space="preserve"> </w:t>
      </w:r>
      <w:r w:rsidR="00DE41A1">
        <w:rPr>
          <w:rFonts w:ascii="Garamond" w:hAnsi="Garamond"/>
          <w:sz w:val="28"/>
          <w:szCs w:val="28"/>
        </w:rPr>
        <w:t>sono</w:t>
      </w:r>
      <w:r w:rsidR="00A871D3">
        <w:rPr>
          <w:rFonts w:ascii="Garamond" w:hAnsi="Garamond"/>
          <w:sz w:val="28"/>
          <w:szCs w:val="28"/>
        </w:rPr>
        <w:t xml:space="preserve"> un fenomeno esistente</w:t>
      </w:r>
      <w:r w:rsidR="00DE41A1">
        <w:rPr>
          <w:rFonts w:ascii="Garamond" w:hAnsi="Garamond"/>
          <w:sz w:val="28"/>
          <w:szCs w:val="28"/>
        </w:rPr>
        <w:t>).</w:t>
      </w:r>
    </w:p>
    <w:p w14:paraId="42F6D145" w14:textId="77777777" w:rsidR="001E5E26" w:rsidRDefault="00051E99" w:rsidP="000B3DFF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sostiene che l’introduzione della improcedibilità dell’azione penale </w:t>
      </w:r>
      <w:r w:rsidR="00270172">
        <w:rPr>
          <w:rFonts w:ascii="Garamond" w:hAnsi="Garamond"/>
          <w:sz w:val="28"/>
          <w:szCs w:val="28"/>
        </w:rPr>
        <w:t xml:space="preserve">per decorso del tempo risponda ad esigenze proprie del diritto sovra-nazionale. </w:t>
      </w:r>
    </w:p>
    <w:p w14:paraId="11C7234C" w14:textId="1181B1E4" w:rsidR="001E5E26" w:rsidRDefault="00270172" w:rsidP="000B3DFF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senso contrario, si deve osservare che </w:t>
      </w:r>
      <w:r w:rsidR="000F07D7">
        <w:rPr>
          <w:rFonts w:ascii="Garamond" w:hAnsi="Garamond"/>
          <w:sz w:val="28"/>
          <w:szCs w:val="28"/>
        </w:rPr>
        <w:t xml:space="preserve">tanto il diritto UE, quanto la </w:t>
      </w:r>
      <w:proofErr w:type="spellStart"/>
      <w:r w:rsidR="000F07D7">
        <w:rPr>
          <w:rFonts w:ascii="Garamond" w:hAnsi="Garamond"/>
          <w:sz w:val="28"/>
          <w:szCs w:val="28"/>
        </w:rPr>
        <w:t>Conv</w:t>
      </w:r>
      <w:proofErr w:type="spellEnd"/>
      <w:r w:rsidR="000F07D7">
        <w:rPr>
          <w:rFonts w:ascii="Garamond" w:hAnsi="Garamond"/>
          <w:sz w:val="28"/>
          <w:szCs w:val="28"/>
        </w:rPr>
        <w:t xml:space="preserve">. </w:t>
      </w:r>
      <w:proofErr w:type="spellStart"/>
      <w:r w:rsidR="000F07D7">
        <w:rPr>
          <w:rFonts w:ascii="Garamond" w:hAnsi="Garamond"/>
          <w:sz w:val="28"/>
          <w:szCs w:val="28"/>
        </w:rPr>
        <w:t>Edu</w:t>
      </w:r>
      <w:proofErr w:type="spellEnd"/>
      <w:r w:rsidR="000F07D7">
        <w:rPr>
          <w:rFonts w:ascii="Garamond" w:hAnsi="Garamond"/>
          <w:sz w:val="28"/>
          <w:szCs w:val="28"/>
        </w:rPr>
        <w:t xml:space="preserve"> non richiedono che un processo finisca </w:t>
      </w:r>
      <w:r w:rsidR="00312AFF">
        <w:rPr>
          <w:rFonts w:ascii="Garamond" w:hAnsi="Garamond"/>
          <w:sz w:val="28"/>
          <w:szCs w:val="28"/>
        </w:rPr>
        <w:t xml:space="preserve">entro un certo termine; le norme sovra-nazionali chiedono, al contrario, che un processo finisca </w:t>
      </w:r>
      <w:r w:rsidR="00040188">
        <w:rPr>
          <w:rFonts w:ascii="Garamond" w:hAnsi="Garamond"/>
          <w:sz w:val="28"/>
          <w:szCs w:val="28"/>
        </w:rPr>
        <w:t xml:space="preserve">utilmente, ossia </w:t>
      </w:r>
      <w:r w:rsidR="00312AFF">
        <w:rPr>
          <w:rFonts w:ascii="Garamond" w:hAnsi="Garamond"/>
          <w:sz w:val="28"/>
          <w:szCs w:val="28"/>
        </w:rPr>
        <w:t>con un accertamento</w:t>
      </w:r>
      <w:r w:rsidR="00040188">
        <w:rPr>
          <w:rFonts w:ascii="Garamond" w:hAnsi="Garamond"/>
          <w:sz w:val="28"/>
          <w:szCs w:val="28"/>
        </w:rPr>
        <w:t xml:space="preserve"> del fatto</w:t>
      </w:r>
      <w:r w:rsidR="00762BC4">
        <w:rPr>
          <w:rFonts w:ascii="Garamond" w:hAnsi="Garamond"/>
          <w:sz w:val="28"/>
          <w:szCs w:val="28"/>
        </w:rPr>
        <w:t>.</w:t>
      </w:r>
      <w:r w:rsidR="00040188">
        <w:rPr>
          <w:rFonts w:ascii="Garamond" w:hAnsi="Garamond"/>
          <w:sz w:val="28"/>
          <w:szCs w:val="28"/>
        </w:rPr>
        <w:t xml:space="preserve"> </w:t>
      </w:r>
      <w:r w:rsidR="00762BC4">
        <w:rPr>
          <w:rFonts w:ascii="Garamond" w:hAnsi="Garamond"/>
          <w:sz w:val="28"/>
          <w:szCs w:val="28"/>
        </w:rPr>
        <w:t>L</w:t>
      </w:r>
      <w:r w:rsidR="00045B60">
        <w:rPr>
          <w:rFonts w:ascii="Garamond" w:hAnsi="Garamond"/>
          <w:sz w:val="28"/>
          <w:szCs w:val="28"/>
        </w:rPr>
        <w:t xml:space="preserve">a vicenda </w:t>
      </w:r>
      <w:proofErr w:type="spellStart"/>
      <w:r w:rsidR="00045B60">
        <w:rPr>
          <w:rFonts w:ascii="Garamond" w:hAnsi="Garamond"/>
          <w:sz w:val="28"/>
          <w:szCs w:val="28"/>
        </w:rPr>
        <w:t>Taricco</w:t>
      </w:r>
      <w:proofErr w:type="spellEnd"/>
      <w:r w:rsidR="00045B60">
        <w:rPr>
          <w:rFonts w:ascii="Garamond" w:hAnsi="Garamond"/>
          <w:sz w:val="28"/>
          <w:szCs w:val="28"/>
        </w:rPr>
        <w:t xml:space="preserve"> è, al riguardo, emblematica</w:t>
      </w:r>
      <w:r w:rsidR="00762BC4">
        <w:rPr>
          <w:rFonts w:ascii="Garamond" w:hAnsi="Garamond"/>
          <w:sz w:val="28"/>
          <w:szCs w:val="28"/>
        </w:rPr>
        <w:t>.</w:t>
      </w:r>
      <w:r w:rsidR="00045B60">
        <w:rPr>
          <w:rFonts w:ascii="Garamond" w:hAnsi="Garamond"/>
          <w:sz w:val="28"/>
          <w:szCs w:val="28"/>
        </w:rPr>
        <w:t xml:space="preserve"> </w:t>
      </w:r>
      <w:r w:rsidR="00762BC4">
        <w:rPr>
          <w:rFonts w:ascii="Garamond" w:hAnsi="Garamond"/>
          <w:sz w:val="28"/>
          <w:szCs w:val="28"/>
        </w:rPr>
        <w:t>In aggiunta</w:t>
      </w:r>
      <w:r w:rsidR="00045B60">
        <w:rPr>
          <w:rFonts w:ascii="Garamond" w:hAnsi="Garamond"/>
          <w:sz w:val="28"/>
          <w:szCs w:val="28"/>
        </w:rPr>
        <w:t xml:space="preserve"> anche la Corte </w:t>
      </w:r>
      <w:proofErr w:type="spellStart"/>
      <w:r w:rsidR="00045B60">
        <w:rPr>
          <w:rFonts w:ascii="Garamond" w:hAnsi="Garamond"/>
          <w:sz w:val="28"/>
          <w:szCs w:val="28"/>
        </w:rPr>
        <w:t>Edu</w:t>
      </w:r>
      <w:proofErr w:type="spellEnd"/>
      <w:r w:rsidR="00045B60">
        <w:rPr>
          <w:rFonts w:ascii="Garamond" w:hAnsi="Garamond"/>
          <w:sz w:val="28"/>
          <w:szCs w:val="28"/>
        </w:rPr>
        <w:t xml:space="preserve"> ha condannato il nostro Paese </w:t>
      </w:r>
      <w:r w:rsidR="00BF2E1B">
        <w:rPr>
          <w:rFonts w:ascii="Garamond" w:hAnsi="Garamond"/>
          <w:sz w:val="28"/>
          <w:szCs w:val="28"/>
        </w:rPr>
        <w:t xml:space="preserve">per l’inadeguatezza della “risposta” </w:t>
      </w:r>
      <w:r w:rsidR="00005D8C">
        <w:rPr>
          <w:rFonts w:ascii="Garamond" w:hAnsi="Garamond"/>
          <w:sz w:val="28"/>
          <w:szCs w:val="28"/>
        </w:rPr>
        <w:t>del nostro sistema giudiziario</w:t>
      </w:r>
      <w:r w:rsidR="006A1EED">
        <w:rPr>
          <w:rFonts w:ascii="Garamond" w:hAnsi="Garamond"/>
          <w:sz w:val="28"/>
          <w:szCs w:val="28"/>
        </w:rPr>
        <w:t xml:space="preserve"> in relazione ai trattamenti inumani e degradanti sub</w:t>
      </w:r>
      <w:r w:rsidR="00762BC4">
        <w:rPr>
          <w:rFonts w:ascii="Garamond" w:hAnsi="Garamond"/>
          <w:sz w:val="28"/>
          <w:szCs w:val="28"/>
        </w:rPr>
        <w:t>i</w:t>
      </w:r>
      <w:r w:rsidR="006A1EED">
        <w:rPr>
          <w:rFonts w:ascii="Garamond" w:hAnsi="Garamond"/>
          <w:sz w:val="28"/>
          <w:szCs w:val="28"/>
        </w:rPr>
        <w:t xml:space="preserve">ti da alcuni consociati per mano </w:t>
      </w:r>
      <w:r w:rsidR="006F73C6">
        <w:rPr>
          <w:rFonts w:ascii="Garamond" w:hAnsi="Garamond"/>
          <w:sz w:val="28"/>
          <w:szCs w:val="28"/>
        </w:rPr>
        <w:t>di pubblici ufficiali</w:t>
      </w:r>
      <w:r w:rsidR="00005D8C">
        <w:rPr>
          <w:rFonts w:ascii="Garamond" w:hAnsi="Garamond"/>
          <w:sz w:val="28"/>
          <w:szCs w:val="28"/>
        </w:rPr>
        <w:t xml:space="preserve"> (Corte </w:t>
      </w:r>
      <w:proofErr w:type="spellStart"/>
      <w:r w:rsidR="00005D8C">
        <w:rPr>
          <w:rFonts w:ascii="Garamond" w:hAnsi="Garamond"/>
          <w:sz w:val="28"/>
          <w:szCs w:val="28"/>
        </w:rPr>
        <w:t>Edu</w:t>
      </w:r>
      <w:proofErr w:type="spellEnd"/>
      <w:r w:rsidR="00005D8C">
        <w:rPr>
          <w:rFonts w:ascii="Garamond" w:hAnsi="Garamond"/>
          <w:sz w:val="28"/>
          <w:szCs w:val="28"/>
        </w:rPr>
        <w:t xml:space="preserve">, caso </w:t>
      </w:r>
      <w:proofErr w:type="spellStart"/>
      <w:r w:rsidR="00005D8C">
        <w:rPr>
          <w:rFonts w:ascii="Garamond" w:hAnsi="Garamond"/>
          <w:sz w:val="28"/>
          <w:szCs w:val="28"/>
        </w:rPr>
        <w:t>Cestaro</w:t>
      </w:r>
      <w:proofErr w:type="spellEnd"/>
      <w:r w:rsidR="00005D8C">
        <w:rPr>
          <w:rFonts w:ascii="Garamond" w:hAnsi="Garamond"/>
          <w:sz w:val="28"/>
          <w:szCs w:val="28"/>
        </w:rPr>
        <w:t xml:space="preserve"> contro Italia)</w:t>
      </w:r>
      <w:r w:rsidR="0087719E">
        <w:rPr>
          <w:rFonts w:ascii="Garamond" w:hAnsi="Garamond"/>
          <w:sz w:val="28"/>
          <w:szCs w:val="28"/>
        </w:rPr>
        <w:t xml:space="preserve">; la stessa Corte </w:t>
      </w:r>
      <w:proofErr w:type="spellStart"/>
      <w:r w:rsidR="0087719E">
        <w:rPr>
          <w:rFonts w:ascii="Garamond" w:hAnsi="Garamond"/>
          <w:sz w:val="28"/>
          <w:szCs w:val="28"/>
        </w:rPr>
        <w:t>Edu</w:t>
      </w:r>
      <w:proofErr w:type="spellEnd"/>
      <w:r w:rsidR="0087719E">
        <w:rPr>
          <w:rFonts w:ascii="Garamond" w:hAnsi="Garamond"/>
          <w:sz w:val="28"/>
          <w:szCs w:val="28"/>
        </w:rPr>
        <w:t xml:space="preserve"> ha</w:t>
      </w:r>
      <w:r w:rsidR="004E0E95">
        <w:rPr>
          <w:rFonts w:ascii="Garamond" w:hAnsi="Garamond"/>
          <w:sz w:val="28"/>
          <w:szCs w:val="28"/>
        </w:rPr>
        <w:t xml:space="preserve"> recentemente </w:t>
      </w:r>
      <w:r w:rsidR="0087719E">
        <w:rPr>
          <w:rFonts w:ascii="Garamond" w:hAnsi="Garamond"/>
          <w:sz w:val="28"/>
          <w:szCs w:val="28"/>
        </w:rPr>
        <w:t xml:space="preserve"> condannato il nostro Paese</w:t>
      </w:r>
      <w:r w:rsidR="004E0E95" w:rsidRPr="004E0E95">
        <w:rPr>
          <w:rFonts w:ascii="Garamond" w:hAnsi="Garamond"/>
          <w:sz w:val="28"/>
          <w:szCs w:val="28"/>
        </w:rPr>
        <w:t>,</w:t>
      </w:r>
      <w:r w:rsidR="00EC0457">
        <w:rPr>
          <w:rFonts w:ascii="Garamond" w:hAnsi="Garamond"/>
          <w:sz w:val="28"/>
          <w:szCs w:val="28"/>
        </w:rPr>
        <w:t xml:space="preserve"> in un caso</w:t>
      </w:r>
      <w:r w:rsidR="004E0E95" w:rsidRPr="004E0E95">
        <w:rPr>
          <w:rFonts w:ascii="Garamond" w:hAnsi="Garamond"/>
          <w:sz w:val="28"/>
          <w:szCs w:val="28"/>
        </w:rPr>
        <w:t xml:space="preserve"> in cui la vittima non aveva potuto costituirsi parte civile nel procedimento penale, a causa dello spirare del termine della prescrizione del reato maturato nel corso delle indagini preliminari</w:t>
      </w:r>
      <w:r w:rsidR="00EC0457">
        <w:rPr>
          <w:rFonts w:ascii="Garamond" w:hAnsi="Garamond"/>
          <w:sz w:val="28"/>
          <w:szCs w:val="28"/>
        </w:rPr>
        <w:t xml:space="preserve"> (Corte </w:t>
      </w:r>
      <w:proofErr w:type="spellStart"/>
      <w:r w:rsidR="00EC0457">
        <w:rPr>
          <w:rFonts w:ascii="Garamond" w:hAnsi="Garamond"/>
          <w:sz w:val="28"/>
          <w:szCs w:val="28"/>
        </w:rPr>
        <w:t>Edu</w:t>
      </w:r>
      <w:proofErr w:type="spellEnd"/>
      <w:r w:rsidR="00EC0457">
        <w:rPr>
          <w:rFonts w:ascii="Garamond" w:hAnsi="Garamond"/>
          <w:sz w:val="28"/>
          <w:szCs w:val="28"/>
        </w:rPr>
        <w:t xml:space="preserve">, caso Petrella contro Italia, in cui la </w:t>
      </w:r>
      <w:r w:rsidR="004E0E95" w:rsidRPr="004E0E95">
        <w:rPr>
          <w:rFonts w:ascii="Garamond" w:hAnsi="Garamond"/>
          <w:sz w:val="28"/>
          <w:szCs w:val="28"/>
        </w:rPr>
        <w:t xml:space="preserve">Corte ha condannato </w:t>
      </w:r>
      <w:r w:rsidR="00A608FF">
        <w:rPr>
          <w:rFonts w:ascii="Garamond" w:hAnsi="Garamond"/>
          <w:sz w:val="28"/>
          <w:szCs w:val="28"/>
        </w:rPr>
        <w:t xml:space="preserve">il nostro Paese per aver </w:t>
      </w:r>
      <w:r w:rsidR="00A608FF">
        <w:rPr>
          <w:rFonts w:ascii="Garamond" w:hAnsi="Garamond"/>
          <w:sz w:val="28"/>
          <w:szCs w:val="28"/>
        </w:rPr>
        <w:lastRenderedPageBreak/>
        <w:t>compromesso i</w:t>
      </w:r>
      <w:r w:rsidR="004E0E95" w:rsidRPr="004E0E95">
        <w:rPr>
          <w:rFonts w:ascii="Garamond" w:hAnsi="Garamond"/>
          <w:sz w:val="28"/>
          <w:szCs w:val="28"/>
        </w:rPr>
        <w:t>l diritto della vittima alla ragionevole durata del procedimento e alla garanzia di accesso al giudice, nonché in ordine alla lesione di un rimedio effettivo ex art. 13 Convenzione</w:t>
      </w:r>
      <w:r w:rsidR="00A608FF">
        <w:rPr>
          <w:rFonts w:ascii="Garamond" w:hAnsi="Garamond"/>
          <w:sz w:val="28"/>
          <w:szCs w:val="28"/>
        </w:rPr>
        <w:t>)</w:t>
      </w:r>
      <w:r w:rsidR="004E0E95" w:rsidRPr="004E0E95">
        <w:rPr>
          <w:rFonts w:ascii="Garamond" w:hAnsi="Garamond"/>
          <w:sz w:val="28"/>
          <w:szCs w:val="28"/>
        </w:rPr>
        <w:t>.</w:t>
      </w:r>
    </w:p>
    <w:p w14:paraId="1FA1DC2D" w14:textId="3B17AC7A" w:rsidR="001E5E26" w:rsidRPr="00B60584" w:rsidRDefault="001E5E26" w:rsidP="000B3DFF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 w:rsidRPr="00B60584">
        <w:rPr>
          <w:rFonts w:ascii="Garamond" w:hAnsi="Garamond"/>
          <w:sz w:val="28"/>
          <w:szCs w:val="28"/>
        </w:rPr>
        <w:t>Sempre la Corte EDU nel procedimento DAN c/Moldavia</w:t>
      </w:r>
      <w:r w:rsidR="004B1E66">
        <w:rPr>
          <w:rFonts w:ascii="Garamond" w:hAnsi="Garamond"/>
          <w:sz w:val="28"/>
          <w:szCs w:val="28"/>
        </w:rPr>
        <w:t xml:space="preserve"> ha imposto un</w:t>
      </w:r>
      <w:r w:rsidR="00343108" w:rsidRPr="00B60584">
        <w:rPr>
          <w:rFonts w:ascii="Garamond" w:hAnsi="Garamond"/>
          <w:sz w:val="28"/>
          <w:szCs w:val="28"/>
        </w:rPr>
        <w:t xml:space="preserve"> livello di garanzia “rafforzata” per l’imputato assolto in primo grado sulla scorta di una prova dichiarativa svalutata dal giudice di prime cure e diversamente valutata in appello per giungere a ribaltare il verdetto da assolutorio in condanna. Emblematicamente l’applicazione di tale regola ha portato</w:t>
      </w:r>
      <w:r w:rsidR="00C55D30" w:rsidRPr="00B60584">
        <w:rPr>
          <w:rFonts w:ascii="Garamond" w:hAnsi="Garamond"/>
          <w:sz w:val="28"/>
          <w:szCs w:val="28"/>
        </w:rPr>
        <w:t>, sul fronte interno, al</w:t>
      </w:r>
      <w:r w:rsidR="00343108" w:rsidRPr="00B60584">
        <w:rPr>
          <w:rFonts w:ascii="Garamond" w:hAnsi="Garamond"/>
          <w:sz w:val="28"/>
          <w:szCs w:val="28"/>
        </w:rPr>
        <w:t>l’introduzione del novellato art. 603</w:t>
      </w:r>
      <w:r w:rsidR="00276837">
        <w:rPr>
          <w:rFonts w:ascii="Garamond" w:hAnsi="Garamond"/>
          <w:sz w:val="28"/>
          <w:szCs w:val="28"/>
        </w:rPr>
        <w:t>.</w:t>
      </w:r>
      <w:r w:rsidR="00343108" w:rsidRPr="00B60584">
        <w:rPr>
          <w:rFonts w:ascii="Garamond" w:hAnsi="Garamond"/>
          <w:sz w:val="28"/>
          <w:szCs w:val="28"/>
        </w:rPr>
        <w:t>3 bis c.p.p. in caso di appello del P.M. e di onere di rinnovazione delle prove dichiarative per l</w:t>
      </w:r>
      <w:r w:rsidR="00C55D30" w:rsidRPr="00B60584">
        <w:rPr>
          <w:rFonts w:ascii="Garamond" w:hAnsi="Garamond"/>
          <w:sz w:val="28"/>
          <w:szCs w:val="28"/>
        </w:rPr>
        <w:t>e Corti di appello, salvo che in caso di conferma del giudizio assolutorio</w:t>
      </w:r>
      <w:r w:rsidR="00343108" w:rsidRPr="00B60584">
        <w:rPr>
          <w:rFonts w:ascii="Garamond" w:hAnsi="Garamond"/>
          <w:sz w:val="28"/>
          <w:szCs w:val="28"/>
        </w:rPr>
        <w:t>. Proprio uno di quei casi che in procedimenti complessi incapperebbe nella mannaia della improcedibilità, essendo assai difficile mantenere la definizione del giudizio di appello con rinnovazione della istruttoria</w:t>
      </w:r>
      <w:r w:rsidR="00C55D30" w:rsidRPr="00B60584">
        <w:rPr>
          <w:rFonts w:ascii="Garamond" w:hAnsi="Garamond"/>
          <w:sz w:val="28"/>
          <w:szCs w:val="28"/>
        </w:rPr>
        <w:t xml:space="preserve">, </w:t>
      </w:r>
      <w:r w:rsidR="00343108" w:rsidRPr="00B60584">
        <w:rPr>
          <w:rFonts w:ascii="Garamond" w:hAnsi="Garamond"/>
          <w:sz w:val="28"/>
          <w:szCs w:val="28"/>
        </w:rPr>
        <w:t xml:space="preserve">sia pure delle sole prove dichiarative </w:t>
      </w:r>
      <w:r w:rsidR="00C55D30" w:rsidRPr="00B60584">
        <w:rPr>
          <w:rFonts w:ascii="Garamond" w:hAnsi="Garamond"/>
          <w:sz w:val="28"/>
          <w:szCs w:val="28"/>
        </w:rPr>
        <w:t xml:space="preserve">decisive e già svalutate, </w:t>
      </w:r>
      <w:r w:rsidR="00343108" w:rsidRPr="00B60584">
        <w:rPr>
          <w:rFonts w:ascii="Garamond" w:hAnsi="Garamond"/>
          <w:sz w:val="28"/>
          <w:szCs w:val="28"/>
        </w:rPr>
        <w:t xml:space="preserve">entro i termini fissati dalla riforma. </w:t>
      </w:r>
    </w:p>
    <w:p w14:paraId="1F885B5A" w14:textId="77777777" w:rsidR="006A1EED" w:rsidRDefault="00DA514A" w:rsidP="000B3DFF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 oggi Strasburgo ci condanna per la durata irragionevole dei processi, il rischio è che domani ci condanni per non essere stati in grado di concluderli.</w:t>
      </w:r>
    </w:p>
    <w:p w14:paraId="4D255D97" w14:textId="77777777" w:rsidR="00B60584" w:rsidRDefault="00B60584" w:rsidP="000B3DFF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</w:p>
    <w:p w14:paraId="2D845827" w14:textId="77777777" w:rsidR="00B60584" w:rsidRPr="00B60584" w:rsidRDefault="00B60584" w:rsidP="00B60584">
      <w:pPr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60584">
        <w:rPr>
          <w:rFonts w:ascii="Garamond" w:hAnsi="Garamond"/>
          <w:i/>
          <w:sz w:val="28"/>
          <w:szCs w:val="28"/>
        </w:rPr>
        <w:t xml:space="preserve">I criteri di priorità: </w:t>
      </w:r>
      <w:r w:rsidR="00A34F45">
        <w:rPr>
          <w:rFonts w:ascii="Garamond" w:hAnsi="Garamond"/>
          <w:i/>
          <w:sz w:val="28"/>
          <w:szCs w:val="28"/>
        </w:rPr>
        <w:t>un ostico rimedio all’inflazionato abuso</w:t>
      </w:r>
      <w:r w:rsidRPr="00B60584">
        <w:rPr>
          <w:rFonts w:ascii="Garamond" w:hAnsi="Garamond"/>
          <w:i/>
          <w:sz w:val="28"/>
          <w:szCs w:val="28"/>
        </w:rPr>
        <w:t xml:space="preserve"> della sanzione penale</w:t>
      </w:r>
      <w:r w:rsidR="00A34F45">
        <w:rPr>
          <w:rFonts w:ascii="Garamond" w:hAnsi="Garamond"/>
          <w:i/>
          <w:sz w:val="28"/>
          <w:szCs w:val="28"/>
        </w:rPr>
        <w:t xml:space="preserve">, </w:t>
      </w:r>
      <w:r w:rsidR="001B35F7">
        <w:rPr>
          <w:rFonts w:ascii="Garamond" w:hAnsi="Garamond"/>
          <w:i/>
          <w:sz w:val="28"/>
          <w:szCs w:val="28"/>
        </w:rPr>
        <w:t>specchio delle</w:t>
      </w:r>
      <w:r w:rsidR="00A34F45">
        <w:rPr>
          <w:rFonts w:ascii="Garamond" w:hAnsi="Garamond"/>
          <w:i/>
          <w:sz w:val="28"/>
          <w:szCs w:val="28"/>
        </w:rPr>
        <w:t xml:space="preserve"> debolezze della politica</w:t>
      </w:r>
      <w:r w:rsidR="001B35F7">
        <w:rPr>
          <w:rFonts w:ascii="Garamond" w:hAnsi="Garamond"/>
          <w:i/>
          <w:sz w:val="28"/>
          <w:szCs w:val="28"/>
        </w:rPr>
        <w:t>.</w:t>
      </w:r>
      <w:r w:rsidR="0000131F">
        <w:rPr>
          <w:rFonts w:ascii="Garamond" w:hAnsi="Garamond"/>
          <w:i/>
          <w:sz w:val="28"/>
          <w:szCs w:val="28"/>
        </w:rPr>
        <w:t xml:space="preserve"> Ma non è più semplice e coerente depenalizzare fattispecie che con i criteri di priorità non troveranno sfogo processuale?</w:t>
      </w:r>
    </w:p>
    <w:p w14:paraId="49369208" w14:textId="77777777" w:rsidR="004B1E66" w:rsidRDefault="004B1E66" w:rsidP="00D03E2E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Per anni la legislazione penale è stato il rimedio, individuato dalla politica, per anestetizzare le paure sociali. Si è registrata, così, una proliferazione delle fattispecie sanzionate penalmente, allo scopo di fornire ai cittadini l’illusione che uno strumento meramente repressivo, potesse avere autentiche capacità di salvaguardare la sicurezza pubblica e garantire i diritti.  </w:t>
      </w:r>
    </w:p>
    <w:p w14:paraId="4D8D09C8" w14:textId="77777777" w:rsidR="00A34F45" w:rsidRDefault="004B1E66" w:rsidP="00A34F45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Questo ha generato </w:t>
      </w:r>
      <w:r w:rsidR="00A34F45" w:rsidRPr="00EF7664">
        <w:rPr>
          <w:rFonts w:ascii="Garamond" w:hAnsi="Garamond"/>
          <w:sz w:val="28"/>
          <w:szCs w:val="28"/>
        </w:rPr>
        <w:t>un flusso di notizie di reato</w:t>
      </w:r>
      <w:r w:rsidR="00A34F45">
        <w:rPr>
          <w:rFonts w:ascii="Garamond" w:hAnsi="Garamond"/>
          <w:sz w:val="28"/>
          <w:szCs w:val="28"/>
        </w:rPr>
        <w:t xml:space="preserve"> presso gli uffici del Pubblico Ministero</w:t>
      </w:r>
      <w:r w:rsidR="00A34F45" w:rsidRPr="00EF7664">
        <w:rPr>
          <w:rFonts w:ascii="Garamond" w:hAnsi="Garamond"/>
          <w:sz w:val="28"/>
          <w:szCs w:val="28"/>
        </w:rPr>
        <w:t xml:space="preserve"> di così complessa gestione, da imporre - spesso - l’adozione di criteri di priorità, per governarlo</w:t>
      </w:r>
      <w:r w:rsidR="00A34F45">
        <w:rPr>
          <w:rFonts w:ascii="Garamond" w:hAnsi="Garamond"/>
          <w:sz w:val="28"/>
          <w:szCs w:val="28"/>
        </w:rPr>
        <w:t xml:space="preserve">. </w:t>
      </w:r>
      <w:r w:rsidR="00A34F45" w:rsidRPr="00EF7664">
        <w:rPr>
          <w:rFonts w:ascii="Garamond" w:hAnsi="Garamond"/>
          <w:sz w:val="28"/>
          <w:szCs w:val="28"/>
        </w:rPr>
        <w:t xml:space="preserve">In attesa di coraggiose riforme che propongano una decisa depenalizzazione di troppe fattispecie di scarso rilievo, resta il tema della fonte di legittimazione dell’organo chiamato ad individuare i criteri di priorità: un organo, necessariamente, dotato di legittimazione democratica – secondo autorevoli opinioni, anche interne alla magistratura – sul presupposto che si tratti di scelte che influenzano l’andamento della politica criminale; </w:t>
      </w:r>
      <w:r w:rsidR="00A34F45" w:rsidRPr="00EF7664">
        <w:rPr>
          <w:rFonts w:ascii="Garamond" w:hAnsi="Garamond"/>
          <w:i/>
          <w:iCs/>
          <w:sz w:val="28"/>
          <w:szCs w:val="28"/>
        </w:rPr>
        <w:t>ovvero</w:t>
      </w:r>
      <w:r w:rsidR="00A34F45" w:rsidRPr="00EF7664">
        <w:rPr>
          <w:rFonts w:ascii="Garamond" w:hAnsi="Garamond"/>
          <w:sz w:val="28"/>
          <w:szCs w:val="28"/>
        </w:rPr>
        <w:t xml:space="preserve"> un organo giudiziario, che, nell’esercizio della responsabilità organizzativa e nel rispetto dei principi di eguaglianza, ragionevolezza e buon andamento, provveda alla declinazione di criteri trasparenti e controllabili dal circuito di governo autonomo della magistratura, secondo altre opinioni.</w:t>
      </w:r>
      <w:r w:rsidR="00A34F45" w:rsidRPr="006D43BE">
        <w:rPr>
          <w:rFonts w:ascii="Garamond" w:hAnsi="Garamond"/>
          <w:color w:val="FF0000"/>
          <w:sz w:val="28"/>
          <w:szCs w:val="28"/>
        </w:rPr>
        <w:t xml:space="preserve"> </w:t>
      </w:r>
      <w:r w:rsidR="00A34F45">
        <w:rPr>
          <w:rFonts w:ascii="Garamond" w:hAnsi="Garamond"/>
          <w:sz w:val="28"/>
          <w:szCs w:val="28"/>
        </w:rPr>
        <w:t xml:space="preserve">Ma al di là di queste – certo non trascurabili – considerazioni, si osserva che l’attribuzione al Parlamento di un simile potere non sembra funzionale allo scopo di assicurare una maggior celerità ai processi penali. Per contro, il concreto rischio che si corre è quello di rendere la giustizia </w:t>
      </w:r>
      <w:r w:rsidR="00A34F45">
        <w:rPr>
          <w:rFonts w:ascii="Garamond" w:hAnsi="Garamond"/>
          <w:sz w:val="28"/>
          <w:szCs w:val="28"/>
        </w:rPr>
        <w:lastRenderedPageBreak/>
        <w:t>ricorrente terreno di contesa politica, con il risultato di veicolare l’idea di una amministrazione della giurisdizione esposta alla volontà delle contingenti maggioranze politiche. Non ci sembra un buon risultato.</w:t>
      </w:r>
    </w:p>
    <w:p w14:paraId="36BD256F" w14:textId="77777777" w:rsidR="00211576" w:rsidRDefault="00A34F45" w:rsidP="004B1E66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 senza dimenticare che </w:t>
      </w:r>
      <w:r w:rsidR="007B6BF3">
        <w:rPr>
          <w:rFonts w:ascii="Garamond" w:hAnsi="Garamond"/>
          <w:sz w:val="28"/>
          <w:szCs w:val="28"/>
        </w:rPr>
        <w:t xml:space="preserve">la questione della declinazione da parte del Parlamento dei criteri </w:t>
      </w:r>
      <w:r w:rsidR="002A5C21">
        <w:rPr>
          <w:rFonts w:ascii="Garamond" w:hAnsi="Garamond"/>
          <w:sz w:val="28"/>
          <w:szCs w:val="28"/>
        </w:rPr>
        <w:t xml:space="preserve">generali </w:t>
      </w:r>
      <w:r w:rsidR="007B6BF3">
        <w:rPr>
          <w:rFonts w:ascii="Garamond" w:hAnsi="Garamond"/>
          <w:sz w:val="28"/>
          <w:szCs w:val="28"/>
        </w:rPr>
        <w:t>di priorità nell’esercizio dell’azione penale</w:t>
      </w:r>
      <w:r w:rsidR="00231265">
        <w:rPr>
          <w:rFonts w:ascii="Garamond" w:hAnsi="Garamond"/>
          <w:sz w:val="28"/>
          <w:szCs w:val="28"/>
        </w:rPr>
        <w:t xml:space="preserve"> pone implicazioni di rilievo costituzionale</w:t>
      </w:r>
      <w:r w:rsidR="007B6BF3">
        <w:rPr>
          <w:rFonts w:ascii="Garamond" w:hAnsi="Garamond"/>
          <w:sz w:val="28"/>
          <w:szCs w:val="28"/>
        </w:rPr>
        <w:t>.</w:t>
      </w:r>
      <w:r w:rsidR="00CC3763">
        <w:rPr>
          <w:rFonts w:ascii="Garamond" w:hAnsi="Garamond"/>
          <w:sz w:val="28"/>
          <w:szCs w:val="28"/>
        </w:rPr>
        <w:t xml:space="preserve"> </w:t>
      </w:r>
      <w:r w:rsidR="006C160D">
        <w:rPr>
          <w:rFonts w:ascii="Garamond" w:hAnsi="Garamond"/>
          <w:sz w:val="28"/>
          <w:szCs w:val="28"/>
        </w:rPr>
        <w:t>Come segnalato anche dalla Giunta esecutiva centrale dell’Associazione Nazionale Magistrati, una simile previsione rischia di porsi in frizione con il principio di obbligatorietà dell’azione penale</w:t>
      </w:r>
      <w:r w:rsidR="009D74AA">
        <w:rPr>
          <w:rFonts w:ascii="Garamond" w:hAnsi="Garamond"/>
          <w:sz w:val="28"/>
          <w:szCs w:val="28"/>
        </w:rPr>
        <w:t xml:space="preserve"> (che, ricordiamolo, è presidio di garanzia dell’eguale trattamento dei consociati di fronte alla legge)</w:t>
      </w:r>
      <w:r w:rsidR="006C160D">
        <w:rPr>
          <w:rFonts w:ascii="Garamond" w:hAnsi="Garamond"/>
          <w:sz w:val="28"/>
          <w:szCs w:val="28"/>
        </w:rPr>
        <w:t xml:space="preserve"> e con il principio di separazione dei poteri</w:t>
      </w:r>
      <w:r w:rsidR="00B643CC">
        <w:rPr>
          <w:rFonts w:ascii="Garamond" w:hAnsi="Garamond"/>
          <w:sz w:val="28"/>
          <w:szCs w:val="28"/>
        </w:rPr>
        <w:t>.</w:t>
      </w:r>
      <w:r w:rsidR="00EF7664" w:rsidRPr="00EF7664">
        <w:rPr>
          <w:rFonts w:ascii="Garamond" w:hAnsi="Garamond"/>
          <w:sz w:val="28"/>
          <w:szCs w:val="28"/>
        </w:rPr>
        <w:t xml:space="preserve"> </w:t>
      </w:r>
    </w:p>
    <w:p w14:paraId="1151DCC2" w14:textId="77777777" w:rsidR="00B60584" w:rsidRDefault="00B60584" w:rsidP="00B60584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C8EB241" w14:textId="77777777" w:rsidR="00B60584" w:rsidRPr="00B60584" w:rsidRDefault="00B60584" w:rsidP="00B60584">
      <w:pPr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B60584">
        <w:rPr>
          <w:rFonts w:ascii="Garamond" w:hAnsi="Garamond"/>
          <w:i/>
          <w:sz w:val="28"/>
          <w:szCs w:val="28"/>
        </w:rPr>
        <w:t>La giustizia riparativa e le n</w:t>
      </w:r>
      <w:r w:rsidR="008B7366">
        <w:rPr>
          <w:rFonts w:ascii="Garamond" w:hAnsi="Garamond"/>
          <w:i/>
          <w:sz w:val="28"/>
          <w:szCs w:val="28"/>
        </w:rPr>
        <w:t>uove modalità sanzionatorie:</w:t>
      </w:r>
      <w:r w:rsidR="001B35F7">
        <w:rPr>
          <w:rFonts w:ascii="Garamond" w:hAnsi="Garamond"/>
          <w:i/>
          <w:sz w:val="28"/>
          <w:szCs w:val="28"/>
        </w:rPr>
        <w:t xml:space="preserve"> un’</w:t>
      </w:r>
      <w:r w:rsidRPr="00B60584">
        <w:rPr>
          <w:rFonts w:ascii="Garamond" w:hAnsi="Garamond"/>
          <w:i/>
          <w:sz w:val="28"/>
          <w:szCs w:val="28"/>
        </w:rPr>
        <w:t>occasione per riaffermare il volto costituzionale della pena</w:t>
      </w:r>
      <w:r>
        <w:rPr>
          <w:rFonts w:ascii="Garamond" w:hAnsi="Garamond"/>
          <w:i/>
          <w:sz w:val="28"/>
          <w:szCs w:val="28"/>
        </w:rPr>
        <w:t>…</w:t>
      </w:r>
    </w:p>
    <w:p w14:paraId="59592ECB" w14:textId="77777777" w:rsidR="00EE5029" w:rsidRDefault="00DE41A1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Infine, qualche riflessione meritano le previsioni riformatrici relative</w:t>
      </w:r>
      <w:r w:rsidR="00CB72AC">
        <w:rPr>
          <w:rFonts w:ascii="Garamond" w:hAnsi="Garamond"/>
          <w:sz w:val="28"/>
          <w:szCs w:val="28"/>
        </w:rPr>
        <w:t xml:space="preserve"> al sistema sanzionatorio. Al riguardo, si saluta con favore </w:t>
      </w:r>
      <w:r w:rsidR="00D31190">
        <w:rPr>
          <w:rFonts w:ascii="Garamond" w:hAnsi="Garamond"/>
          <w:sz w:val="28"/>
          <w:szCs w:val="28"/>
        </w:rPr>
        <w:t>il fatto che</w:t>
      </w:r>
      <w:r w:rsidR="00CB72AC">
        <w:rPr>
          <w:rFonts w:ascii="Garamond" w:hAnsi="Garamond"/>
          <w:sz w:val="28"/>
          <w:szCs w:val="28"/>
        </w:rPr>
        <w:t xml:space="preserve"> il disegno riformatore </w:t>
      </w:r>
      <w:r w:rsidR="00D31190">
        <w:rPr>
          <w:rFonts w:ascii="Garamond" w:hAnsi="Garamond"/>
          <w:sz w:val="28"/>
          <w:szCs w:val="28"/>
        </w:rPr>
        <w:t xml:space="preserve">abbandoni una visione </w:t>
      </w:r>
      <w:r w:rsidR="00C01B6B">
        <w:rPr>
          <w:rFonts w:ascii="Garamond" w:hAnsi="Garamond"/>
          <w:sz w:val="28"/>
          <w:szCs w:val="28"/>
        </w:rPr>
        <w:t xml:space="preserve">esclusivamente </w:t>
      </w:r>
      <w:r w:rsidR="00D31190">
        <w:rPr>
          <w:rFonts w:ascii="Garamond" w:hAnsi="Garamond"/>
          <w:sz w:val="28"/>
          <w:szCs w:val="28"/>
        </w:rPr>
        <w:t xml:space="preserve">carcero-centrica del sistema sanzionatorio. L’introduzione di meccanismi di giustizia riparativa, </w:t>
      </w:r>
      <w:r w:rsidR="004C21E2">
        <w:rPr>
          <w:rFonts w:ascii="Garamond" w:hAnsi="Garamond"/>
          <w:sz w:val="28"/>
          <w:szCs w:val="28"/>
        </w:rPr>
        <w:t xml:space="preserve">la previsione della possibilità di applicare già in sede di cognizione misure sanzionatorie alternative alla pena detentiva va nella condivisibile direzione di affermare il volto costituzionale della pena e </w:t>
      </w:r>
      <w:r w:rsidR="00923818">
        <w:rPr>
          <w:rFonts w:ascii="Garamond" w:hAnsi="Garamond"/>
          <w:sz w:val="28"/>
          <w:szCs w:val="28"/>
        </w:rPr>
        <w:t xml:space="preserve">di perseguire </w:t>
      </w:r>
      <w:r w:rsidR="00E60F55">
        <w:rPr>
          <w:rFonts w:ascii="Garamond" w:hAnsi="Garamond"/>
          <w:sz w:val="28"/>
          <w:szCs w:val="28"/>
        </w:rPr>
        <w:t xml:space="preserve">l’obiettivo di reinserimento sociale del condannato, scolpito nell’art. 27, co. 3, </w:t>
      </w:r>
      <w:proofErr w:type="spellStart"/>
      <w:r w:rsidR="00E60F55">
        <w:rPr>
          <w:rFonts w:ascii="Garamond" w:hAnsi="Garamond"/>
          <w:sz w:val="28"/>
          <w:szCs w:val="28"/>
        </w:rPr>
        <w:t>Cost</w:t>
      </w:r>
      <w:proofErr w:type="spellEnd"/>
      <w:r w:rsidR="00E60F55">
        <w:rPr>
          <w:rFonts w:ascii="Garamond" w:hAnsi="Garamond"/>
          <w:sz w:val="28"/>
          <w:szCs w:val="28"/>
        </w:rPr>
        <w:t>.</w:t>
      </w:r>
    </w:p>
    <w:p w14:paraId="4D651104" w14:textId="77777777" w:rsidR="00E60F55" w:rsidRDefault="00E60F55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 riguardo, solo poche</w:t>
      </w:r>
      <w:r w:rsidR="0042476B">
        <w:rPr>
          <w:rFonts w:ascii="Garamond" w:hAnsi="Garamond"/>
          <w:sz w:val="28"/>
          <w:szCs w:val="28"/>
        </w:rPr>
        <w:t>, sintetiche, osservazioni.</w:t>
      </w:r>
    </w:p>
    <w:p w14:paraId="394A962D" w14:textId="77777777" w:rsidR="00870596" w:rsidRDefault="006A137B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Nel nostro sistema i</w:t>
      </w:r>
      <w:r w:rsidR="0042476B">
        <w:rPr>
          <w:rFonts w:ascii="Garamond" w:hAnsi="Garamond"/>
          <w:sz w:val="28"/>
          <w:szCs w:val="28"/>
        </w:rPr>
        <w:t xml:space="preserve"> meccanismi di giustizia riparativa </w:t>
      </w:r>
      <w:r>
        <w:rPr>
          <w:rFonts w:ascii="Garamond" w:hAnsi="Garamond"/>
          <w:sz w:val="28"/>
          <w:szCs w:val="28"/>
        </w:rPr>
        <w:t xml:space="preserve">sono ancora </w:t>
      </w:r>
      <w:r w:rsidR="0042476B">
        <w:rPr>
          <w:rFonts w:ascii="Garamond" w:hAnsi="Garamond"/>
          <w:sz w:val="28"/>
          <w:szCs w:val="28"/>
        </w:rPr>
        <w:t>da “costruire”</w:t>
      </w:r>
      <w:r>
        <w:rPr>
          <w:rFonts w:ascii="Garamond" w:hAnsi="Garamond"/>
          <w:sz w:val="28"/>
          <w:szCs w:val="28"/>
        </w:rPr>
        <w:t xml:space="preserve">; nel far ciò, si dovrà </w:t>
      </w:r>
      <w:r w:rsidR="00923818">
        <w:rPr>
          <w:rFonts w:ascii="Garamond" w:hAnsi="Garamond"/>
          <w:sz w:val="28"/>
          <w:szCs w:val="28"/>
        </w:rPr>
        <w:t>operare</w:t>
      </w:r>
      <w:r>
        <w:rPr>
          <w:rFonts w:ascii="Garamond" w:hAnsi="Garamond"/>
          <w:sz w:val="28"/>
          <w:szCs w:val="28"/>
        </w:rPr>
        <w:t xml:space="preserve"> un forte investimento sulla costruzione dei percorsi di giustizia riparativa, sulla formazione degli operatori sociali e giudiziari. Ma, al tempo stesso, si dovrà rafforzare anche </w:t>
      </w:r>
      <w:r w:rsidR="006A7CF7">
        <w:rPr>
          <w:rFonts w:ascii="Garamond" w:hAnsi="Garamond"/>
          <w:sz w:val="28"/>
          <w:szCs w:val="28"/>
        </w:rPr>
        <w:t>il sistema di assistenza alle vittime di reato, onde evitare che il condivisibile auspicio di perseguire la riparazione</w:t>
      </w:r>
      <w:r w:rsidR="00623384">
        <w:rPr>
          <w:rFonts w:ascii="Garamond" w:hAnsi="Garamond"/>
          <w:sz w:val="28"/>
          <w:szCs w:val="28"/>
        </w:rPr>
        <w:t xml:space="preserve"> non finisca con l’esporre la vittima a fenomeni di </w:t>
      </w:r>
      <w:r w:rsidR="00623384">
        <w:rPr>
          <w:rFonts w:ascii="Garamond" w:hAnsi="Garamond"/>
          <w:i/>
          <w:iCs/>
          <w:sz w:val="28"/>
          <w:szCs w:val="28"/>
        </w:rPr>
        <w:t>vittimizzazione secondaria</w:t>
      </w:r>
      <w:r w:rsidR="00623384">
        <w:rPr>
          <w:rFonts w:ascii="Garamond" w:hAnsi="Garamond"/>
          <w:sz w:val="28"/>
          <w:szCs w:val="28"/>
        </w:rPr>
        <w:t>. Si dovrà pertanto investire anche sui centri di assistenza alle vittime.</w:t>
      </w:r>
    </w:p>
    <w:p w14:paraId="7D702060" w14:textId="77777777" w:rsidR="0042476B" w:rsidRDefault="00870596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L’introduzione di sanzioni sostitutive che siano alternative alla risposta carceraria implica il coinvolgimento – già in fase di cognizione – degli Uffici di esecuzione penale esterna. </w:t>
      </w:r>
      <w:r w:rsidR="00785192">
        <w:rPr>
          <w:rFonts w:ascii="Garamond" w:hAnsi="Garamond"/>
          <w:sz w:val="28"/>
          <w:szCs w:val="28"/>
        </w:rPr>
        <w:t xml:space="preserve">Tuttavia, senza </w:t>
      </w:r>
      <w:r>
        <w:rPr>
          <w:rFonts w:ascii="Garamond" w:hAnsi="Garamond"/>
          <w:sz w:val="28"/>
          <w:szCs w:val="28"/>
        </w:rPr>
        <w:t>un rafforzamento di detti uffici</w:t>
      </w:r>
      <w:r w:rsidR="00441A73">
        <w:rPr>
          <w:rFonts w:ascii="Garamond" w:hAnsi="Garamond"/>
          <w:sz w:val="28"/>
          <w:szCs w:val="28"/>
        </w:rPr>
        <w:t xml:space="preserve"> – </w:t>
      </w:r>
      <w:r w:rsidR="006C2074">
        <w:rPr>
          <w:rFonts w:ascii="Garamond" w:hAnsi="Garamond"/>
          <w:sz w:val="28"/>
          <w:szCs w:val="28"/>
        </w:rPr>
        <w:t xml:space="preserve">non previsto dal </w:t>
      </w:r>
      <w:r w:rsidR="00441A73">
        <w:rPr>
          <w:rFonts w:ascii="Garamond" w:hAnsi="Garamond"/>
          <w:sz w:val="28"/>
          <w:szCs w:val="28"/>
        </w:rPr>
        <w:t>disegno di legge di riforma del processo penale – la condivisibile introduzione di meccanismi sanzionatori alternativi al carcere</w:t>
      </w:r>
      <w:r w:rsidR="00BB44D8">
        <w:rPr>
          <w:rFonts w:ascii="Garamond" w:hAnsi="Garamond"/>
          <w:sz w:val="28"/>
          <w:szCs w:val="28"/>
        </w:rPr>
        <w:t xml:space="preserve"> rischia di restare una mera affermazione di principio.</w:t>
      </w:r>
    </w:p>
    <w:p w14:paraId="5196EF85" w14:textId="77777777" w:rsidR="00B60584" w:rsidRDefault="00B60584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</w:p>
    <w:p w14:paraId="266FA9D8" w14:textId="1BA020A2" w:rsidR="00B60584" w:rsidRPr="0033506D" w:rsidRDefault="00B60584" w:rsidP="00B60584">
      <w:pPr>
        <w:spacing w:line="276" w:lineRule="auto"/>
        <w:jc w:val="both"/>
        <w:rPr>
          <w:rFonts w:ascii="Garamond" w:hAnsi="Garamond"/>
          <w:i/>
          <w:sz w:val="28"/>
          <w:szCs w:val="28"/>
        </w:rPr>
      </w:pPr>
      <w:r w:rsidRPr="0033506D">
        <w:rPr>
          <w:rFonts w:ascii="Garamond" w:hAnsi="Garamond"/>
          <w:i/>
          <w:sz w:val="28"/>
          <w:szCs w:val="28"/>
        </w:rPr>
        <w:t>…</w:t>
      </w:r>
      <w:r w:rsidR="00276837">
        <w:rPr>
          <w:rFonts w:ascii="Garamond" w:hAnsi="Garamond"/>
          <w:i/>
          <w:sz w:val="28"/>
          <w:szCs w:val="28"/>
        </w:rPr>
        <w:t xml:space="preserve"> </w:t>
      </w:r>
      <w:r w:rsidR="0033506D" w:rsidRPr="0033506D">
        <w:rPr>
          <w:rFonts w:ascii="Garamond" w:hAnsi="Garamond"/>
          <w:i/>
          <w:sz w:val="28"/>
          <w:szCs w:val="28"/>
        </w:rPr>
        <w:t>L’esecuzione dell</w:t>
      </w:r>
      <w:r w:rsidR="00276837">
        <w:rPr>
          <w:rFonts w:ascii="Garamond" w:hAnsi="Garamond"/>
          <w:i/>
          <w:sz w:val="28"/>
          <w:szCs w:val="28"/>
        </w:rPr>
        <w:t>a</w:t>
      </w:r>
      <w:r w:rsidR="0033506D" w:rsidRPr="0033506D">
        <w:rPr>
          <w:rFonts w:ascii="Garamond" w:hAnsi="Garamond"/>
          <w:i/>
          <w:sz w:val="28"/>
          <w:szCs w:val="28"/>
        </w:rPr>
        <w:t xml:space="preserve"> pena: una riforma a metà</w:t>
      </w:r>
    </w:p>
    <w:p w14:paraId="24D385DB" w14:textId="77777777" w:rsidR="00F44CE5" w:rsidRDefault="00BB44D8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 ultimo: </w:t>
      </w:r>
      <w:r w:rsidR="00991D84">
        <w:rPr>
          <w:rFonts w:ascii="Garamond" w:hAnsi="Garamond"/>
          <w:sz w:val="28"/>
          <w:szCs w:val="28"/>
        </w:rPr>
        <w:t xml:space="preserve">il </w:t>
      </w:r>
      <w:proofErr w:type="spellStart"/>
      <w:r w:rsidR="00991D84">
        <w:rPr>
          <w:rFonts w:ascii="Garamond" w:hAnsi="Garamond"/>
          <w:sz w:val="28"/>
          <w:szCs w:val="28"/>
        </w:rPr>
        <w:t>d.d.l.</w:t>
      </w:r>
      <w:proofErr w:type="spellEnd"/>
      <w:r w:rsidR="00991D84">
        <w:rPr>
          <w:rFonts w:ascii="Garamond" w:hAnsi="Garamond"/>
          <w:sz w:val="28"/>
          <w:szCs w:val="28"/>
        </w:rPr>
        <w:t xml:space="preserve"> di riforma del processo penale modula le sanzioni sostitutive alla pena detentiva sulla falsariga </w:t>
      </w:r>
      <w:r w:rsidR="00DD4824">
        <w:rPr>
          <w:rFonts w:ascii="Garamond" w:hAnsi="Garamond"/>
          <w:sz w:val="28"/>
          <w:szCs w:val="28"/>
        </w:rPr>
        <w:t xml:space="preserve">delle misure alternative alla detenzione, oggi “gestite” dalla magistratura di sorveglianza. Tra dette sanzioni sostitutive, però, non si prevede la possibilità di sostituire la pena detentiva con </w:t>
      </w:r>
      <w:r w:rsidR="00991D84">
        <w:rPr>
          <w:rFonts w:ascii="Garamond" w:hAnsi="Garamond"/>
          <w:sz w:val="28"/>
          <w:szCs w:val="28"/>
        </w:rPr>
        <w:t>l’</w:t>
      </w:r>
      <w:r w:rsidR="00991D84">
        <w:rPr>
          <w:rFonts w:ascii="Garamond" w:hAnsi="Garamond"/>
          <w:i/>
          <w:iCs/>
          <w:sz w:val="28"/>
          <w:szCs w:val="28"/>
        </w:rPr>
        <w:t>affidamento in prova al servizio sociale</w:t>
      </w:r>
      <w:r w:rsidR="00DD4824">
        <w:rPr>
          <w:rFonts w:ascii="Garamond" w:hAnsi="Garamond"/>
          <w:sz w:val="28"/>
          <w:szCs w:val="28"/>
        </w:rPr>
        <w:t xml:space="preserve">. </w:t>
      </w:r>
      <w:r w:rsidR="0070492D">
        <w:rPr>
          <w:rFonts w:ascii="Garamond" w:hAnsi="Garamond"/>
          <w:sz w:val="28"/>
          <w:szCs w:val="28"/>
        </w:rPr>
        <w:t xml:space="preserve">Si tratta di una previsione che è suscettibile di rilievi critici, considerato che: (a) l’affidamento in </w:t>
      </w:r>
      <w:r w:rsidR="0070492D">
        <w:rPr>
          <w:rFonts w:ascii="Garamond" w:hAnsi="Garamond"/>
          <w:sz w:val="28"/>
          <w:szCs w:val="28"/>
        </w:rPr>
        <w:lastRenderedPageBreak/>
        <w:t xml:space="preserve">prova al servizio sociale è la sanzione che </w:t>
      </w:r>
      <w:r w:rsidR="00227B5B">
        <w:rPr>
          <w:rFonts w:ascii="Garamond" w:hAnsi="Garamond"/>
          <w:sz w:val="28"/>
          <w:szCs w:val="28"/>
        </w:rPr>
        <w:t xml:space="preserve">in misura più significativa ha un contenuto “risocializzante” e rieducativo; (b) è una misura che </w:t>
      </w:r>
      <w:r w:rsidR="007B3634">
        <w:rPr>
          <w:rFonts w:ascii="Garamond" w:hAnsi="Garamond"/>
          <w:sz w:val="28"/>
          <w:szCs w:val="28"/>
        </w:rPr>
        <w:t xml:space="preserve">ha, nel tempo, dato buona prova di sé, </w:t>
      </w:r>
      <w:r w:rsidR="000E23E7">
        <w:rPr>
          <w:rFonts w:ascii="Garamond" w:hAnsi="Garamond"/>
          <w:sz w:val="28"/>
          <w:szCs w:val="28"/>
        </w:rPr>
        <w:t>come attestato dal modesto numero di revoche del beneficio penitenziario registrato dalle statistiche; (c) è una misura che</w:t>
      </w:r>
      <w:r w:rsidR="007B3634" w:rsidRPr="007B3634">
        <w:rPr>
          <w:rFonts w:ascii="Garamond" w:hAnsi="Garamond"/>
          <w:sz w:val="28"/>
          <w:szCs w:val="28"/>
        </w:rPr>
        <w:t xml:space="preserve"> </w:t>
      </w:r>
      <w:r w:rsidR="007B3634">
        <w:rPr>
          <w:rFonts w:ascii="Garamond" w:hAnsi="Garamond"/>
          <w:sz w:val="28"/>
          <w:szCs w:val="28"/>
        </w:rPr>
        <w:t>ha, nel tempo, dato buona prova di sé</w:t>
      </w:r>
      <w:r w:rsidR="00EE0590">
        <w:rPr>
          <w:rFonts w:ascii="Garamond" w:hAnsi="Garamond"/>
          <w:sz w:val="28"/>
          <w:szCs w:val="28"/>
        </w:rPr>
        <w:t xml:space="preserve"> anche sotto il profilo della “prevenzione” (considerato che, secondo alcuni studi</w:t>
      </w:r>
      <w:r w:rsidR="007B3634">
        <w:rPr>
          <w:rFonts w:ascii="Garamond" w:hAnsi="Garamond"/>
          <w:sz w:val="28"/>
          <w:szCs w:val="28"/>
        </w:rPr>
        <w:t>,</w:t>
      </w:r>
      <w:r w:rsidR="00EE0590">
        <w:rPr>
          <w:rFonts w:ascii="Garamond" w:hAnsi="Garamond"/>
          <w:sz w:val="28"/>
          <w:szCs w:val="28"/>
        </w:rPr>
        <w:t xml:space="preserve"> il tasso di recidiva per le persone</w:t>
      </w:r>
      <w:r w:rsidR="00191F56">
        <w:rPr>
          <w:rFonts w:ascii="Garamond" w:hAnsi="Garamond"/>
          <w:sz w:val="28"/>
          <w:szCs w:val="28"/>
        </w:rPr>
        <w:t xml:space="preserve"> che hanno “scontato la pena” in regime di affidamento in prova al servizio sociale sembra più basso rispetto a chi ha scontato la pena esclusivamente o principalmente in carcere</w:t>
      </w:r>
      <w:r w:rsidR="00F44CE5">
        <w:rPr>
          <w:rFonts w:ascii="Garamond" w:hAnsi="Garamond"/>
          <w:sz w:val="28"/>
          <w:szCs w:val="28"/>
        </w:rPr>
        <w:t>).</w:t>
      </w:r>
      <w:r w:rsidR="00E835C0">
        <w:rPr>
          <w:rFonts w:ascii="Garamond" w:hAnsi="Garamond"/>
          <w:sz w:val="28"/>
          <w:szCs w:val="28"/>
        </w:rPr>
        <w:t xml:space="preserve"> Pertanto, la mancata previsione della possibilità di sostituire </w:t>
      </w:r>
      <w:r w:rsidR="00C427F2">
        <w:rPr>
          <w:rFonts w:ascii="Garamond" w:hAnsi="Garamond"/>
          <w:sz w:val="28"/>
          <w:szCs w:val="28"/>
        </w:rPr>
        <w:t>la pena detentiva con quella dell’affidamento in prova al servizio sociale rischia di indebolire l’affermazione di una pena meno carcero</w:t>
      </w:r>
      <w:r w:rsidR="000B7A95">
        <w:rPr>
          <w:rFonts w:ascii="Garamond" w:hAnsi="Garamond"/>
          <w:sz w:val="28"/>
          <w:szCs w:val="28"/>
        </w:rPr>
        <w:t>-</w:t>
      </w:r>
      <w:r w:rsidR="00C427F2">
        <w:rPr>
          <w:rFonts w:ascii="Garamond" w:hAnsi="Garamond"/>
          <w:sz w:val="28"/>
          <w:szCs w:val="28"/>
        </w:rPr>
        <w:t>centrica (e</w:t>
      </w:r>
      <w:r w:rsidR="0079264C">
        <w:rPr>
          <w:rFonts w:ascii="Garamond" w:hAnsi="Garamond"/>
          <w:sz w:val="28"/>
          <w:szCs w:val="28"/>
        </w:rPr>
        <w:t>, per converso, rischia di non avere effetto deflattivo, considerato che</w:t>
      </w:r>
      <w:r w:rsidR="003D7184">
        <w:rPr>
          <w:rFonts w:ascii="Garamond" w:hAnsi="Garamond"/>
          <w:sz w:val="28"/>
          <w:szCs w:val="28"/>
        </w:rPr>
        <w:t xml:space="preserve"> continuerà ad essere</w:t>
      </w:r>
      <w:r w:rsidR="0079264C">
        <w:rPr>
          <w:rFonts w:ascii="Garamond" w:hAnsi="Garamond"/>
          <w:sz w:val="28"/>
          <w:szCs w:val="28"/>
        </w:rPr>
        <w:t xml:space="preserve"> elevato il numero di </w:t>
      </w:r>
      <w:r w:rsidR="003222A3">
        <w:rPr>
          <w:rFonts w:ascii="Garamond" w:hAnsi="Garamond"/>
          <w:sz w:val="28"/>
          <w:szCs w:val="28"/>
        </w:rPr>
        <w:t xml:space="preserve">impugnazioni e di </w:t>
      </w:r>
      <w:r w:rsidR="0079264C">
        <w:rPr>
          <w:rFonts w:ascii="Garamond" w:hAnsi="Garamond"/>
          <w:sz w:val="28"/>
          <w:szCs w:val="28"/>
        </w:rPr>
        <w:t xml:space="preserve">istanze di affidamento </w:t>
      </w:r>
      <w:r w:rsidR="003D7184">
        <w:rPr>
          <w:rFonts w:ascii="Garamond" w:hAnsi="Garamond"/>
          <w:sz w:val="28"/>
          <w:szCs w:val="28"/>
        </w:rPr>
        <w:t xml:space="preserve">in prova </w:t>
      </w:r>
      <w:r w:rsidR="0079264C">
        <w:rPr>
          <w:rFonts w:ascii="Garamond" w:hAnsi="Garamond"/>
          <w:sz w:val="28"/>
          <w:szCs w:val="28"/>
        </w:rPr>
        <w:t xml:space="preserve">al servizio sociale </w:t>
      </w:r>
      <w:r w:rsidR="003D7184">
        <w:rPr>
          <w:rFonts w:ascii="Garamond" w:hAnsi="Garamond"/>
          <w:sz w:val="28"/>
          <w:szCs w:val="28"/>
        </w:rPr>
        <w:t>che continueranno ad essere presentate alla magistratura di sorveglianza</w:t>
      </w:r>
      <w:r w:rsidR="001C1FC8">
        <w:rPr>
          <w:rFonts w:ascii="Garamond" w:hAnsi="Garamond"/>
          <w:sz w:val="28"/>
          <w:szCs w:val="28"/>
        </w:rPr>
        <w:t>, in forza del meccanismo di sospensione dell’esecuzione</w:t>
      </w:r>
      <w:r w:rsidR="003D7184">
        <w:rPr>
          <w:rFonts w:ascii="Garamond" w:hAnsi="Garamond"/>
          <w:sz w:val="28"/>
          <w:szCs w:val="28"/>
        </w:rPr>
        <w:t>).</w:t>
      </w:r>
    </w:p>
    <w:p w14:paraId="61C2F9D9" w14:textId="77777777" w:rsidR="0033506D" w:rsidRDefault="0033506D" w:rsidP="0033506D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0FF7EB20" w14:textId="77777777" w:rsidR="0033506D" w:rsidRPr="0033506D" w:rsidRDefault="001A35A4" w:rsidP="0033506D">
      <w:pPr>
        <w:spacing w:line="276" w:lineRule="auto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Dopo l’allontanamento</w:t>
      </w:r>
      <w:r w:rsidR="008B7366">
        <w:rPr>
          <w:rFonts w:ascii="Garamond" w:hAnsi="Garamond"/>
          <w:i/>
          <w:sz w:val="28"/>
          <w:szCs w:val="28"/>
        </w:rPr>
        <w:t xml:space="preserve"> da</w:t>
      </w:r>
      <w:r w:rsidR="0033506D" w:rsidRPr="0033506D">
        <w:rPr>
          <w:rFonts w:ascii="Garamond" w:hAnsi="Garamond"/>
          <w:i/>
          <w:sz w:val="28"/>
          <w:szCs w:val="28"/>
        </w:rPr>
        <w:t xml:space="preserve">ll’elaborazione prodotta dalla Commissione Lattanzi, imporre la fiducia sul testo attuale significa perdere occasioni di confronto e rilancio, accontentandosi di un </w:t>
      </w:r>
      <w:r w:rsidR="008B7366">
        <w:rPr>
          <w:rFonts w:ascii="Garamond" w:hAnsi="Garamond"/>
          <w:i/>
          <w:sz w:val="28"/>
          <w:szCs w:val="28"/>
        </w:rPr>
        <w:t>compromesso al ribasso</w:t>
      </w:r>
      <w:r w:rsidR="0033506D" w:rsidRPr="0033506D">
        <w:rPr>
          <w:rFonts w:ascii="Garamond" w:hAnsi="Garamond"/>
          <w:i/>
          <w:sz w:val="28"/>
          <w:szCs w:val="28"/>
        </w:rPr>
        <w:t>.</w:t>
      </w:r>
    </w:p>
    <w:p w14:paraId="3503F6AE" w14:textId="77777777" w:rsidR="003D7184" w:rsidRDefault="003D7184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 magistratura è dunque consapevole che cambiare si deve. La manifestazione di </w:t>
      </w:r>
      <w:r w:rsidR="00F97D07">
        <w:rPr>
          <w:rFonts w:ascii="Garamond" w:hAnsi="Garamond"/>
          <w:sz w:val="28"/>
          <w:szCs w:val="28"/>
        </w:rPr>
        <w:t xml:space="preserve">rilievi non è una difesa dello </w:t>
      </w:r>
      <w:r w:rsidR="00F97D07">
        <w:rPr>
          <w:rFonts w:ascii="Garamond" w:hAnsi="Garamond"/>
          <w:i/>
          <w:iCs/>
          <w:sz w:val="28"/>
          <w:szCs w:val="28"/>
        </w:rPr>
        <w:t>status quo</w:t>
      </w:r>
      <w:r w:rsidR="00F97D07">
        <w:rPr>
          <w:rFonts w:ascii="Garamond" w:hAnsi="Garamond"/>
          <w:sz w:val="28"/>
          <w:szCs w:val="28"/>
        </w:rPr>
        <w:t xml:space="preserve">, ma il tentativo di assicurare che il disegno riformatore </w:t>
      </w:r>
      <w:r w:rsidR="00DD41CC">
        <w:rPr>
          <w:rFonts w:ascii="Garamond" w:hAnsi="Garamond"/>
          <w:sz w:val="28"/>
          <w:szCs w:val="28"/>
        </w:rPr>
        <w:t xml:space="preserve">possa </w:t>
      </w:r>
      <w:r w:rsidR="007A56E6">
        <w:rPr>
          <w:rFonts w:ascii="Garamond" w:hAnsi="Garamond"/>
          <w:sz w:val="28"/>
          <w:szCs w:val="28"/>
        </w:rPr>
        <w:t>davvero raggiungere gli ambiziosi obiettivi che esso si propone.</w:t>
      </w:r>
    </w:p>
    <w:p w14:paraId="741B32B2" w14:textId="77777777" w:rsidR="007A56E6" w:rsidRPr="00F97D07" w:rsidRDefault="00CF607A" w:rsidP="00EE5029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Auspichiamo </w:t>
      </w:r>
      <w:r w:rsidR="00C91D76">
        <w:rPr>
          <w:rFonts w:ascii="Garamond" w:hAnsi="Garamond"/>
          <w:sz w:val="28"/>
          <w:szCs w:val="28"/>
        </w:rPr>
        <w:t xml:space="preserve">pertanto che il decisore politico </w:t>
      </w:r>
      <w:r w:rsidR="00EF0125">
        <w:rPr>
          <w:rFonts w:ascii="Garamond" w:hAnsi="Garamond"/>
          <w:sz w:val="28"/>
          <w:szCs w:val="28"/>
        </w:rPr>
        <w:t>investa responsabilmente nella discussione della riforma</w:t>
      </w:r>
      <w:r>
        <w:rPr>
          <w:rFonts w:ascii="Garamond" w:hAnsi="Garamond"/>
          <w:sz w:val="28"/>
          <w:szCs w:val="28"/>
        </w:rPr>
        <w:t xml:space="preserve"> un tempo e una rif</w:t>
      </w:r>
      <w:r w:rsidR="00613EA5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essione adeguata all’importanza delle questioni</w:t>
      </w:r>
      <w:r w:rsidR="00613EA5">
        <w:rPr>
          <w:rFonts w:ascii="Garamond" w:hAnsi="Garamond"/>
          <w:sz w:val="28"/>
          <w:szCs w:val="28"/>
        </w:rPr>
        <w:t xml:space="preserve"> (apparendo viceversa non rassicurante al riguardo</w:t>
      </w:r>
      <w:r w:rsidR="00BE79BC">
        <w:rPr>
          <w:rFonts w:ascii="Garamond" w:hAnsi="Garamond"/>
          <w:sz w:val="28"/>
          <w:szCs w:val="28"/>
        </w:rPr>
        <w:t xml:space="preserve"> </w:t>
      </w:r>
      <w:r w:rsidR="004C5A2B">
        <w:rPr>
          <w:rFonts w:ascii="Garamond" w:hAnsi="Garamond"/>
          <w:sz w:val="28"/>
          <w:szCs w:val="28"/>
        </w:rPr>
        <w:t>–</w:t>
      </w:r>
      <w:r w:rsidR="00B4306D">
        <w:rPr>
          <w:rFonts w:ascii="Garamond" w:hAnsi="Garamond"/>
          <w:sz w:val="28"/>
          <w:szCs w:val="28"/>
        </w:rPr>
        <w:t xml:space="preserve"> come già segnalato da Area DG – l</w:t>
      </w:r>
      <w:r w:rsidR="009B75C5">
        <w:rPr>
          <w:rFonts w:ascii="Garamond" w:hAnsi="Garamond"/>
          <w:sz w:val="28"/>
          <w:szCs w:val="28"/>
        </w:rPr>
        <w:t>’eventualità di sterilizzare il dibattito parlamentare ponendo la questione di fiducia).</w:t>
      </w:r>
    </w:p>
    <w:p w14:paraId="5274CD6D" w14:textId="77777777" w:rsidR="00F44CE5" w:rsidRDefault="00CF607A" w:rsidP="003B63F5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 quanto difficile sia la mediazione da svolgere in sede politica,</w:t>
      </w:r>
      <w:r w:rsidR="009B75C5">
        <w:rPr>
          <w:rFonts w:ascii="Garamond" w:hAnsi="Garamond"/>
          <w:sz w:val="28"/>
          <w:szCs w:val="28"/>
        </w:rPr>
        <w:t xml:space="preserve"> crediamo che </w:t>
      </w:r>
      <w:r w:rsidR="00604678">
        <w:rPr>
          <w:rFonts w:ascii="Garamond" w:hAnsi="Garamond"/>
          <w:sz w:val="28"/>
          <w:szCs w:val="28"/>
        </w:rPr>
        <w:t xml:space="preserve">– in un passaggio </w:t>
      </w:r>
      <w:r w:rsidR="006838BA">
        <w:rPr>
          <w:rFonts w:ascii="Garamond" w:hAnsi="Garamond"/>
          <w:sz w:val="28"/>
          <w:szCs w:val="28"/>
        </w:rPr>
        <w:t xml:space="preserve">potenzialmente </w:t>
      </w:r>
      <w:r w:rsidR="00604678">
        <w:rPr>
          <w:rFonts w:ascii="Garamond" w:hAnsi="Garamond"/>
          <w:sz w:val="28"/>
          <w:szCs w:val="28"/>
        </w:rPr>
        <w:t xml:space="preserve">epocale come questo – il </w:t>
      </w:r>
      <w:r w:rsidR="00884166">
        <w:rPr>
          <w:rFonts w:ascii="Garamond" w:hAnsi="Garamond"/>
          <w:sz w:val="28"/>
          <w:szCs w:val="28"/>
        </w:rPr>
        <w:t xml:space="preserve">pieno </w:t>
      </w:r>
      <w:r w:rsidR="00604678">
        <w:rPr>
          <w:rFonts w:ascii="Garamond" w:hAnsi="Garamond"/>
          <w:sz w:val="28"/>
          <w:szCs w:val="28"/>
        </w:rPr>
        <w:t>coinvolgimento del Parlamento e l’ascolto di tutti gli operatori giudiziari</w:t>
      </w:r>
      <w:r w:rsidR="005E79CA">
        <w:rPr>
          <w:rFonts w:ascii="Garamond" w:hAnsi="Garamond"/>
          <w:sz w:val="28"/>
          <w:szCs w:val="28"/>
        </w:rPr>
        <w:t xml:space="preserve"> </w:t>
      </w:r>
      <w:r w:rsidR="00221755">
        <w:rPr>
          <w:rFonts w:ascii="Garamond" w:hAnsi="Garamond"/>
          <w:sz w:val="28"/>
          <w:szCs w:val="28"/>
        </w:rPr>
        <w:t xml:space="preserve">siano </w:t>
      </w:r>
      <w:r w:rsidR="00465C6D">
        <w:rPr>
          <w:rFonts w:ascii="Garamond" w:hAnsi="Garamond"/>
          <w:sz w:val="28"/>
          <w:szCs w:val="28"/>
        </w:rPr>
        <w:t xml:space="preserve">non perdite di tempo, ma un investimento, trattandosi di </w:t>
      </w:r>
      <w:r w:rsidR="00221755">
        <w:rPr>
          <w:rFonts w:ascii="Garamond" w:hAnsi="Garamond"/>
          <w:sz w:val="28"/>
          <w:szCs w:val="28"/>
        </w:rPr>
        <w:t xml:space="preserve">passaggi che potranno offrire al nostro Paese un sistema penale </w:t>
      </w:r>
      <w:r w:rsidR="003B63F5">
        <w:rPr>
          <w:rFonts w:ascii="Garamond" w:hAnsi="Garamond"/>
          <w:sz w:val="28"/>
          <w:szCs w:val="28"/>
        </w:rPr>
        <w:t>più aderente alla Costituzione.</w:t>
      </w:r>
    </w:p>
    <w:p w14:paraId="65F9A4B0" w14:textId="77777777" w:rsidR="003B63F5" w:rsidRDefault="003B63F5" w:rsidP="003B63F5">
      <w:pPr>
        <w:spacing w:line="276" w:lineRule="auto"/>
        <w:ind w:firstLine="142"/>
        <w:jc w:val="both"/>
        <w:rPr>
          <w:rFonts w:ascii="Garamond" w:hAnsi="Garamond"/>
          <w:sz w:val="28"/>
          <w:szCs w:val="28"/>
        </w:rPr>
      </w:pPr>
    </w:p>
    <w:p w14:paraId="352FE8D4" w14:textId="77777777" w:rsidR="004B01FA" w:rsidRPr="004B01FA" w:rsidRDefault="004B01FA" w:rsidP="004B01FA">
      <w:pPr>
        <w:spacing w:line="276" w:lineRule="auto"/>
        <w:ind w:firstLine="142"/>
        <w:jc w:val="right"/>
        <w:rPr>
          <w:rFonts w:ascii="Garamond" w:hAnsi="Garamond"/>
          <w:i/>
          <w:iCs/>
          <w:sz w:val="28"/>
          <w:szCs w:val="28"/>
        </w:rPr>
      </w:pPr>
      <w:r w:rsidRPr="004B01FA">
        <w:rPr>
          <w:rFonts w:ascii="Garamond" w:hAnsi="Garamond"/>
          <w:i/>
          <w:iCs/>
          <w:sz w:val="28"/>
          <w:szCs w:val="28"/>
        </w:rPr>
        <w:t>La dirigenza nazionale di Magistratura democratica</w:t>
      </w:r>
    </w:p>
    <w:p w14:paraId="0A03CE48" w14:textId="77777777" w:rsidR="006C1C0D" w:rsidRPr="009A60C9" w:rsidRDefault="006C1C0D" w:rsidP="004B01FA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4F0D5BA6" w14:textId="77777777" w:rsidR="00FA471A" w:rsidRDefault="00FA471A" w:rsidP="00C97BD5">
      <w:pPr>
        <w:spacing w:line="276" w:lineRule="auto"/>
        <w:jc w:val="center"/>
        <w:rPr>
          <w:rFonts w:ascii="Garamond" w:hAnsi="Garamond" w:cs="Calibri"/>
          <w:color w:val="000000"/>
          <w:sz w:val="30"/>
          <w:szCs w:val="30"/>
          <w:lang w:eastAsia="it-IT"/>
        </w:rPr>
      </w:pPr>
    </w:p>
    <w:bookmarkEnd w:id="1"/>
    <w:p w14:paraId="4E81D1AF" w14:textId="77777777" w:rsidR="0055284E" w:rsidRPr="0055284E" w:rsidRDefault="0055284E" w:rsidP="0055284E">
      <w:pPr>
        <w:ind w:firstLine="142"/>
        <w:jc w:val="both"/>
        <w:rPr>
          <w:rFonts w:ascii="Garamond" w:eastAsiaTheme="minorEastAsia" w:hAnsi="Garamond"/>
          <w:noProof/>
          <w:sz w:val="26"/>
          <w:szCs w:val="26"/>
          <w:lang w:eastAsia="it-IT"/>
        </w:rPr>
      </w:pPr>
    </w:p>
    <w:sectPr w:rsidR="0055284E" w:rsidRPr="00552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B27" w14:textId="77777777" w:rsidR="000E7B78" w:rsidRDefault="000E7B78" w:rsidP="001B1B7D">
      <w:r>
        <w:separator/>
      </w:r>
    </w:p>
  </w:endnote>
  <w:endnote w:type="continuationSeparator" w:id="0">
    <w:p w14:paraId="15EA4233" w14:textId="77777777" w:rsidR="000E7B78" w:rsidRDefault="000E7B78" w:rsidP="001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B911" w14:textId="77777777" w:rsidR="000E7B78" w:rsidRDefault="000E7B78" w:rsidP="001B1B7D">
      <w:r>
        <w:separator/>
      </w:r>
    </w:p>
  </w:footnote>
  <w:footnote w:type="continuationSeparator" w:id="0">
    <w:p w14:paraId="55513396" w14:textId="77777777" w:rsidR="000E7B78" w:rsidRDefault="000E7B78" w:rsidP="001B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53109"/>
    <w:multiLevelType w:val="hybridMultilevel"/>
    <w:tmpl w:val="FE00F510"/>
    <w:lvl w:ilvl="0" w:tplc="AB348AD2">
      <w:start w:val="186"/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615C2A"/>
    <w:multiLevelType w:val="hybridMultilevel"/>
    <w:tmpl w:val="1F8240D0"/>
    <w:lvl w:ilvl="0" w:tplc="DC0C3888"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4E"/>
    <w:rsid w:val="0000131F"/>
    <w:rsid w:val="00005C5C"/>
    <w:rsid w:val="00005D8C"/>
    <w:rsid w:val="00016820"/>
    <w:rsid w:val="00023319"/>
    <w:rsid w:val="00030ADE"/>
    <w:rsid w:val="00031AA2"/>
    <w:rsid w:val="000364D2"/>
    <w:rsid w:val="00037CE2"/>
    <w:rsid w:val="00040188"/>
    <w:rsid w:val="00045B60"/>
    <w:rsid w:val="00051E99"/>
    <w:rsid w:val="0005327D"/>
    <w:rsid w:val="00054312"/>
    <w:rsid w:val="0006459D"/>
    <w:rsid w:val="00066686"/>
    <w:rsid w:val="000720E7"/>
    <w:rsid w:val="00072C2A"/>
    <w:rsid w:val="00075E7B"/>
    <w:rsid w:val="00082147"/>
    <w:rsid w:val="000917AD"/>
    <w:rsid w:val="0009675A"/>
    <w:rsid w:val="000B17B7"/>
    <w:rsid w:val="000B1990"/>
    <w:rsid w:val="000B2895"/>
    <w:rsid w:val="000B3DFF"/>
    <w:rsid w:val="000B59FD"/>
    <w:rsid w:val="000B6C6E"/>
    <w:rsid w:val="000B7A95"/>
    <w:rsid w:val="000C4E4F"/>
    <w:rsid w:val="000D31A2"/>
    <w:rsid w:val="000D4AF2"/>
    <w:rsid w:val="000E01D1"/>
    <w:rsid w:val="000E23E7"/>
    <w:rsid w:val="000E5105"/>
    <w:rsid w:val="000E6DEA"/>
    <w:rsid w:val="000E7B78"/>
    <w:rsid w:val="000F07D7"/>
    <w:rsid w:val="00100C47"/>
    <w:rsid w:val="00106D07"/>
    <w:rsid w:val="00113FBF"/>
    <w:rsid w:val="001346BB"/>
    <w:rsid w:val="001400D3"/>
    <w:rsid w:val="00142E37"/>
    <w:rsid w:val="00153198"/>
    <w:rsid w:val="00155CC3"/>
    <w:rsid w:val="00157161"/>
    <w:rsid w:val="001604F0"/>
    <w:rsid w:val="00160779"/>
    <w:rsid w:val="00166A80"/>
    <w:rsid w:val="00167B2B"/>
    <w:rsid w:val="001762AA"/>
    <w:rsid w:val="00176D95"/>
    <w:rsid w:val="001825E1"/>
    <w:rsid w:val="00182AC1"/>
    <w:rsid w:val="00183E3D"/>
    <w:rsid w:val="001916B2"/>
    <w:rsid w:val="00191D6B"/>
    <w:rsid w:val="00191F56"/>
    <w:rsid w:val="00193055"/>
    <w:rsid w:val="001A1A4E"/>
    <w:rsid w:val="001A318D"/>
    <w:rsid w:val="001A35A4"/>
    <w:rsid w:val="001A423D"/>
    <w:rsid w:val="001B1977"/>
    <w:rsid w:val="001B1B7D"/>
    <w:rsid w:val="001B35F7"/>
    <w:rsid w:val="001B63F4"/>
    <w:rsid w:val="001C1FC8"/>
    <w:rsid w:val="001C2CC1"/>
    <w:rsid w:val="001C40BB"/>
    <w:rsid w:val="001C442D"/>
    <w:rsid w:val="001C5AD3"/>
    <w:rsid w:val="001C7E55"/>
    <w:rsid w:val="001D479F"/>
    <w:rsid w:val="001E5E26"/>
    <w:rsid w:val="001E6713"/>
    <w:rsid w:val="001F2A32"/>
    <w:rsid w:val="001F5039"/>
    <w:rsid w:val="00211576"/>
    <w:rsid w:val="0021196B"/>
    <w:rsid w:val="00214870"/>
    <w:rsid w:val="00216703"/>
    <w:rsid w:val="00221755"/>
    <w:rsid w:val="00222926"/>
    <w:rsid w:val="00227B5B"/>
    <w:rsid w:val="00230807"/>
    <w:rsid w:val="00231265"/>
    <w:rsid w:val="00235082"/>
    <w:rsid w:val="00237116"/>
    <w:rsid w:val="00242C6D"/>
    <w:rsid w:val="00243F92"/>
    <w:rsid w:val="00246604"/>
    <w:rsid w:val="00250CE9"/>
    <w:rsid w:val="002542FF"/>
    <w:rsid w:val="00265DA5"/>
    <w:rsid w:val="00270172"/>
    <w:rsid w:val="00276837"/>
    <w:rsid w:val="0028640C"/>
    <w:rsid w:val="00287E50"/>
    <w:rsid w:val="00292C0C"/>
    <w:rsid w:val="002A48F5"/>
    <w:rsid w:val="002A5C21"/>
    <w:rsid w:val="002B5975"/>
    <w:rsid w:val="002C110C"/>
    <w:rsid w:val="002D27AC"/>
    <w:rsid w:val="002D3254"/>
    <w:rsid w:val="002D6E81"/>
    <w:rsid w:val="002F144A"/>
    <w:rsid w:val="002F2D16"/>
    <w:rsid w:val="002F4917"/>
    <w:rsid w:val="0030098A"/>
    <w:rsid w:val="00310BA1"/>
    <w:rsid w:val="00312AFF"/>
    <w:rsid w:val="00313DDD"/>
    <w:rsid w:val="003222A3"/>
    <w:rsid w:val="003235FE"/>
    <w:rsid w:val="00324F9E"/>
    <w:rsid w:val="00334F7F"/>
    <w:rsid w:val="0033506D"/>
    <w:rsid w:val="00335825"/>
    <w:rsid w:val="003403B0"/>
    <w:rsid w:val="00342744"/>
    <w:rsid w:val="00343108"/>
    <w:rsid w:val="00352A37"/>
    <w:rsid w:val="00352EE0"/>
    <w:rsid w:val="00353924"/>
    <w:rsid w:val="00360C74"/>
    <w:rsid w:val="0036460F"/>
    <w:rsid w:val="00377493"/>
    <w:rsid w:val="003925BC"/>
    <w:rsid w:val="0039744B"/>
    <w:rsid w:val="003A43DD"/>
    <w:rsid w:val="003B59F7"/>
    <w:rsid w:val="003B63F5"/>
    <w:rsid w:val="003C426F"/>
    <w:rsid w:val="003D7184"/>
    <w:rsid w:val="003D739F"/>
    <w:rsid w:val="003E1BBE"/>
    <w:rsid w:val="003E3F9B"/>
    <w:rsid w:val="003F6F27"/>
    <w:rsid w:val="00404101"/>
    <w:rsid w:val="004049D6"/>
    <w:rsid w:val="00407C11"/>
    <w:rsid w:val="0042476B"/>
    <w:rsid w:val="004354C3"/>
    <w:rsid w:val="00440777"/>
    <w:rsid w:val="00441A73"/>
    <w:rsid w:val="00442ACA"/>
    <w:rsid w:val="00443B07"/>
    <w:rsid w:val="0044559F"/>
    <w:rsid w:val="00452DD3"/>
    <w:rsid w:val="00454FA6"/>
    <w:rsid w:val="00456489"/>
    <w:rsid w:val="00460E11"/>
    <w:rsid w:val="00465C6D"/>
    <w:rsid w:val="00470C91"/>
    <w:rsid w:val="00470CB9"/>
    <w:rsid w:val="004721AA"/>
    <w:rsid w:val="00472D95"/>
    <w:rsid w:val="00476391"/>
    <w:rsid w:val="00476F1E"/>
    <w:rsid w:val="00480172"/>
    <w:rsid w:val="00480A29"/>
    <w:rsid w:val="00484BD3"/>
    <w:rsid w:val="00490B59"/>
    <w:rsid w:val="00490E2B"/>
    <w:rsid w:val="004930B2"/>
    <w:rsid w:val="00493C58"/>
    <w:rsid w:val="004952CE"/>
    <w:rsid w:val="00497CE8"/>
    <w:rsid w:val="004A1828"/>
    <w:rsid w:val="004B01FA"/>
    <w:rsid w:val="004B1E66"/>
    <w:rsid w:val="004B65C6"/>
    <w:rsid w:val="004C21E2"/>
    <w:rsid w:val="004C294B"/>
    <w:rsid w:val="004C488C"/>
    <w:rsid w:val="004C5A2B"/>
    <w:rsid w:val="004D05B8"/>
    <w:rsid w:val="004D1CD7"/>
    <w:rsid w:val="004D438F"/>
    <w:rsid w:val="004D7F27"/>
    <w:rsid w:val="004E0B0B"/>
    <w:rsid w:val="004E0E95"/>
    <w:rsid w:val="004E3E85"/>
    <w:rsid w:val="004F5C58"/>
    <w:rsid w:val="005016DE"/>
    <w:rsid w:val="0050268D"/>
    <w:rsid w:val="005032A8"/>
    <w:rsid w:val="00504C3B"/>
    <w:rsid w:val="005163A2"/>
    <w:rsid w:val="00516B69"/>
    <w:rsid w:val="005177B1"/>
    <w:rsid w:val="0052187C"/>
    <w:rsid w:val="00522B1F"/>
    <w:rsid w:val="00525892"/>
    <w:rsid w:val="005336FE"/>
    <w:rsid w:val="005352A1"/>
    <w:rsid w:val="00540D22"/>
    <w:rsid w:val="00543BFC"/>
    <w:rsid w:val="005464FD"/>
    <w:rsid w:val="00547EB9"/>
    <w:rsid w:val="0055284E"/>
    <w:rsid w:val="00552B63"/>
    <w:rsid w:val="0056352B"/>
    <w:rsid w:val="00572A05"/>
    <w:rsid w:val="0059020C"/>
    <w:rsid w:val="005A39DB"/>
    <w:rsid w:val="005A61CD"/>
    <w:rsid w:val="005C34FB"/>
    <w:rsid w:val="005D06D6"/>
    <w:rsid w:val="005D3074"/>
    <w:rsid w:val="005D391C"/>
    <w:rsid w:val="005D439A"/>
    <w:rsid w:val="005E2CE3"/>
    <w:rsid w:val="005E79CA"/>
    <w:rsid w:val="005E7AAC"/>
    <w:rsid w:val="005F5A08"/>
    <w:rsid w:val="005F6793"/>
    <w:rsid w:val="005F78F1"/>
    <w:rsid w:val="00600D27"/>
    <w:rsid w:val="00604678"/>
    <w:rsid w:val="006073B7"/>
    <w:rsid w:val="00613EA5"/>
    <w:rsid w:val="006149B3"/>
    <w:rsid w:val="0061733B"/>
    <w:rsid w:val="00623384"/>
    <w:rsid w:val="00624D71"/>
    <w:rsid w:val="0063551E"/>
    <w:rsid w:val="00641155"/>
    <w:rsid w:val="00655262"/>
    <w:rsid w:val="00666FFF"/>
    <w:rsid w:val="00674122"/>
    <w:rsid w:val="006838BA"/>
    <w:rsid w:val="00686F52"/>
    <w:rsid w:val="00691063"/>
    <w:rsid w:val="0069209E"/>
    <w:rsid w:val="00692C04"/>
    <w:rsid w:val="00696398"/>
    <w:rsid w:val="006A137B"/>
    <w:rsid w:val="006A1EED"/>
    <w:rsid w:val="006A23D3"/>
    <w:rsid w:val="006A6E33"/>
    <w:rsid w:val="006A7CF7"/>
    <w:rsid w:val="006B4AD8"/>
    <w:rsid w:val="006C0E1F"/>
    <w:rsid w:val="006C160D"/>
    <w:rsid w:val="006C1C0D"/>
    <w:rsid w:val="006C2074"/>
    <w:rsid w:val="006C2B47"/>
    <w:rsid w:val="006C7E89"/>
    <w:rsid w:val="006D0074"/>
    <w:rsid w:val="006D43BE"/>
    <w:rsid w:val="006D6135"/>
    <w:rsid w:val="006E6018"/>
    <w:rsid w:val="006F73C6"/>
    <w:rsid w:val="0070492D"/>
    <w:rsid w:val="007058E5"/>
    <w:rsid w:val="0070789F"/>
    <w:rsid w:val="00710061"/>
    <w:rsid w:val="00713E4A"/>
    <w:rsid w:val="00720B8A"/>
    <w:rsid w:val="00725C00"/>
    <w:rsid w:val="00731F99"/>
    <w:rsid w:val="00747F36"/>
    <w:rsid w:val="00753B55"/>
    <w:rsid w:val="00754842"/>
    <w:rsid w:val="00762BC4"/>
    <w:rsid w:val="00764976"/>
    <w:rsid w:val="00771721"/>
    <w:rsid w:val="00772CD2"/>
    <w:rsid w:val="00775585"/>
    <w:rsid w:val="00775C1A"/>
    <w:rsid w:val="007767BF"/>
    <w:rsid w:val="00780F3B"/>
    <w:rsid w:val="00783BCC"/>
    <w:rsid w:val="00785192"/>
    <w:rsid w:val="00786C35"/>
    <w:rsid w:val="0079264C"/>
    <w:rsid w:val="007A1E4E"/>
    <w:rsid w:val="007A4EE8"/>
    <w:rsid w:val="007A56E6"/>
    <w:rsid w:val="007A7105"/>
    <w:rsid w:val="007A7427"/>
    <w:rsid w:val="007B3634"/>
    <w:rsid w:val="007B6BF3"/>
    <w:rsid w:val="007C12CD"/>
    <w:rsid w:val="007C524B"/>
    <w:rsid w:val="007C55AF"/>
    <w:rsid w:val="007C57B0"/>
    <w:rsid w:val="007D07B2"/>
    <w:rsid w:val="007D12B3"/>
    <w:rsid w:val="007D49FF"/>
    <w:rsid w:val="007D676D"/>
    <w:rsid w:val="007E19A8"/>
    <w:rsid w:val="007F033C"/>
    <w:rsid w:val="007F4294"/>
    <w:rsid w:val="00800C96"/>
    <w:rsid w:val="00801CB4"/>
    <w:rsid w:val="00804555"/>
    <w:rsid w:val="008119D2"/>
    <w:rsid w:val="0082180C"/>
    <w:rsid w:val="008306C4"/>
    <w:rsid w:val="008313B8"/>
    <w:rsid w:val="00834D66"/>
    <w:rsid w:val="00836710"/>
    <w:rsid w:val="00845778"/>
    <w:rsid w:val="00863EF1"/>
    <w:rsid w:val="00866053"/>
    <w:rsid w:val="00870596"/>
    <w:rsid w:val="00873AF3"/>
    <w:rsid w:val="0087719E"/>
    <w:rsid w:val="00882EDF"/>
    <w:rsid w:val="00883A3A"/>
    <w:rsid w:val="00884166"/>
    <w:rsid w:val="00884A61"/>
    <w:rsid w:val="00884E4D"/>
    <w:rsid w:val="00885471"/>
    <w:rsid w:val="008A75E2"/>
    <w:rsid w:val="008B09F6"/>
    <w:rsid w:val="008B2C13"/>
    <w:rsid w:val="008B608C"/>
    <w:rsid w:val="008B7366"/>
    <w:rsid w:val="008C2B8F"/>
    <w:rsid w:val="008C4E20"/>
    <w:rsid w:val="008C597E"/>
    <w:rsid w:val="008D1A18"/>
    <w:rsid w:val="008E420E"/>
    <w:rsid w:val="008E769B"/>
    <w:rsid w:val="008F0B8A"/>
    <w:rsid w:val="008F370C"/>
    <w:rsid w:val="008F66E3"/>
    <w:rsid w:val="008F724A"/>
    <w:rsid w:val="008F745B"/>
    <w:rsid w:val="009065D6"/>
    <w:rsid w:val="00911F70"/>
    <w:rsid w:val="00912CD1"/>
    <w:rsid w:val="009158CA"/>
    <w:rsid w:val="00923818"/>
    <w:rsid w:val="009323B5"/>
    <w:rsid w:val="00940868"/>
    <w:rsid w:val="00945C04"/>
    <w:rsid w:val="00947A8D"/>
    <w:rsid w:val="00956165"/>
    <w:rsid w:val="00956DBC"/>
    <w:rsid w:val="00957EA0"/>
    <w:rsid w:val="009703E5"/>
    <w:rsid w:val="00977637"/>
    <w:rsid w:val="00981FA9"/>
    <w:rsid w:val="00983387"/>
    <w:rsid w:val="00984FB8"/>
    <w:rsid w:val="00991D84"/>
    <w:rsid w:val="00996DCD"/>
    <w:rsid w:val="009A2173"/>
    <w:rsid w:val="009A5A88"/>
    <w:rsid w:val="009A60C9"/>
    <w:rsid w:val="009B4CBE"/>
    <w:rsid w:val="009B60C7"/>
    <w:rsid w:val="009B75C5"/>
    <w:rsid w:val="009C2D5C"/>
    <w:rsid w:val="009D74AA"/>
    <w:rsid w:val="009E63A8"/>
    <w:rsid w:val="009E715E"/>
    <w:rsid w:val="009F0E10"/>
    <w:rsid w:val="009F5313"/>
    <w:rsid w:val="009F55C8"/>
    <w:rsid w:val="009F6DAF"/>
    <w:rsid w:val="00A0541C"/>
    <w:rsid w:val="00A13253"/>
    <w:rsid w:val="00A16D4C"/>
    <w:rsid w:val="00A218ED"/>
    <w:rsid w:val="00A27CAE"/>
    <w:rsid w:val="00A310E1"/>
    <w:rsid w:val="00A3155A"/>
    <w:rsid w:val="00A34F45"/>
    <w:rsid w:val="00A41B3D"/>
    <w:rsid w:val="00A47D37"/>
    <w:rsid w:val="00A54927"/>
    <w:rsid w:val="00A608FF"/>
    <w:rsid w:val="00A62016"/>
    <w:rsid w:val="00A7053C"/>
    <w:rsid w:val="00A82CE9"/>
    <w:rsid w:val="00A871D3"/>
    <w:rsid w:val="00AA4759"/>
    <w:rsid w:val="00AB133D"/>
    <w:rsid w:val="00AB3311"/>
    <w:rsid w:val="00AC32C3"/>
    <w:rsid w:val="00AC4C03"/>
    <w:rsid w:val="00AC6DBD"/>
    <w:rsid w:val="00AD24D2"/>
    <w:rsid w:val="00AD3763"/>
    <w:rsid w:val="00AE285F"/>
    <w:rsid w:val="00AE2CBD"/>
    <w:rsid w:val="00B016C1"/>
    <w:rsid w:val="00B031C1"/>
    <w:rsid w:val="00B045B6"/>
    <w:rsid w:val="00B04E48"/>
    <w:rsid w:val="00B0679E"/>
    <w:rsid w:val="00B1251F"/>
    <w:rsid w:val="00B142E4"/>
    <w:rsid w:val="00B20FE0"/>
    <w:rsid w:val="00B257AB"/>
    <w:rsid w:val="00B271A7"/>
    <w:rsid w:val="00B35038"/>
    <w:rsid w:val="00B36660"/>
    <w:rsid w:val="00B37F15"/>
    <w:rsid w:val="00B4306D"/>
    <w:rsid w:val="00B44F5F"/>
    <w:rsid w:val="00B46567"/>
    <w:rsid w:val="00B5322B"/>
    <w:rsid w:val="00B564E6"/>
    <w:rsid w:val="00B60584"/>
    <w:rsid w:val="00B643CC"/>
    <w:rsid w:val="00B64AC1"/>
    <w:rsid w:val="00B7273A"/>
    <w:rsid w:val="00B76C14"/>
    <w:rsid w:val="00B77759"/>
    <w:rsid w:val="00B802F6"/>
    <w:rsid w:val="00B82AEC"/>
    <w:rsid w:val="00BA0168"/>
    <w:rsid w:val="00BA501B"/>
    <w:rsid w:val="00BA7995"/>
    <w:rsid w:val="00BB2817"/>
    <w:rsid w:val="00BB44D8"/>
    <w:rsid w:val="00BB7609"/>
    <w:rsid w:val="00BC5A5E"/>
    <w:rsid w:val="00BD149D"/>
    <w:rsid w:val="00BE140A"/>
    <w:rsid w:val="00BE4C56"/>
    <w:rsid w:val="00BE79BC"/>
    <w:rsid w:val="00BF1EE0"/>
    <w:rsid w:val="00BF2E1B"/>
    <w:rsid w:val="00C01B6B"/>
    <w:rsid w:val="00C169CE"/>
    <w:rsid w:val="00C207A3"/>
    <w:rsid w:val="00C2690B"/>
    <w:rsid w:val="00C30777"/>
    <w:rsid w:val="00C31B62"/>
    <w:rsid w:val="00C37206"/>
    <w:rsid w:val="00C416D8"/>
    <w:rsid w:val="00C427F2"/>
    <w:rsid w:val="00C44014"/>
    <w:rsid w:val="00C456CA"/>
    <w:rsid w:val="00C46A5F"/>
    <w:rsid w:val="00C4701E"/>
    <w:rsid w:val="00C47E24"/>
    <w:rsid w:val="00C516E5"/>
    <w:rsid w:val="00C526D4"/>
    <w:rsid w:val="00C55D30"/>
    <w:rsid w:val="00C76073"/>
    <w:rsid w:val="00C91D76"/>
    <w:rsid w:val="00C953A5"/>
    <w:rsid w:val="00C956B7"/>
    <w:rsid w:val="00C9738B"/>
    <w:rsid w:val="00C97BD5"/>
    <w:rsid w:val="00CA577C"/>
    <w:rsid w:val="00CA7D0D"/>
    <w:rsid w:val="00CB72AC"/>
    <w:rsid w:val="00CC3763"/>
    <w:rsid w:val="00CD6864"/>
    <w:rsid w:val="00CF4BB9"/>
    <w:rsid w:val="00CF607A"/>
    <w:rsid w:val="00D03E2E"/>
    <w:rsid w:val="00D068A9"/>
    <w:rsid w:val="00D10570"/>
    <w:rsid w:val="00D25A4E"/>
    <w:rsid w:val="00D31190"/>
    <w:rsid w:val="00D318AA"/>
    <w:rsid w:val="00D31DD1"/>
    <w:rsid w:val="00D32825"/>
    <w:rsid w:val="00D35994"/>
    <w:rsid w:val="00D36496"/>
    <w:rsid w:val="00D42A52"/>
    <w:rsid w:val="00D432E1"/>
    <w:rsid w:val="00D442F8"/>
    <w:rsid w:val="00D51FC5"/>
    <w:rsid w:val="00D53DAA"/>
    <w:rsid w:val="00D63861"/>
    <w:rsid w:val="00D640A1"/>
    <w:rsid w:val="00D6635F"/>
    <w:rsid w:val="00D70769"/>
    <w:rsid w:val="00D71FDC"/>
    <w:rsid w:val="00D72F7C"/>
    <w:rsid w:val="00D75AFF"/>
    <w:rsid w:val="00D8072C"/>
    <w:rsid w:val="00D83F9E"/>
    <w:rsid w:val="00D854EB"/>
    <w:rsid w:val="00D90A99"/>
    <w:rsid w:val="00D97B35"/>
    <w:rsid w:val="00DA160A"/>
    <w:rsid w:val="00DA2CFD"/>
    <w:rsid w:val="00DA4016"/>
    <w:rsid w:val="00DA514A"/>
    <w:rsid w:val="00DB3DE0"/>
    <w:rsid w:val="00DB59EB"/>
    <w:rsid w:val="00DB7E44"/>
    <w:rsid w:val="00DC2E09"/>
    <w:rsid w:val="00DC662A"/>
    <w:rsid w:val="00DC7080"/>
    <w:rsid w:val="00DD1F64"/>
    <w:rsid w:val="00DD3B4D"/>
    <w:rsid w:val="00DD41CC"/>
    <w:rsid w:val="00DD46F5"/>
    <w:rsid w:val="00DD4824"/>
    <w:rsid w:val="00DD6178"/>
    <w:rsid w:val="00DD6BAC"/>
    <w:rsid w:val="00DE0DB7"/>
    <w:rsid w:val="00DE41A1"/>
    <w:rsid w:val="00DF6341"/>
    <w:rsid w:val="00E142D2"/>
    <w:rsid w:val="00E206E7"/>
    <w:rsid w:val="00E2484D"/>
    <w:rsid w:val="00E33A69"/>
    <w:rsid w:val="00E37EF3"/>
    <w:rsid w:val="00E45BBB"/>
    <w:rsid w:val="00E45CB1"/>
    <w:rsid w:val="00E465FE"/>
    <w:rsid w:val="00E522FD"/>
    <w:rsid w:val="00E53233"/>
    <w:rsid w:val="00E60F55"/>
    <w:rsid w:val="00E629AC"/>
    <w:rsid w:val="00E67AC2"/>
    <w:rsid w:val="00E67CA7"/>
    <w:rsid w:val="00E7323D"/>
    <w:rsid w:val="00E775FA"/>
    <w:rsid w:val="00E835C0"/>
    <w:rsid w:val="00E841D3"/>
    <w:rsid w:val="00E852FB"/>
    <w:rsid w:val="00E92855"/>
    <w:rsid w:val="00E93309"/>
    <w:rsid w:val="00EA5EE6"/>
    <w:rsid w:val="00EA60D9"/>
    <w:rsid w:val="00EB33B7"/>
    <w:rsid w:val="00EB3B8F"/>
    <w:rsid w:val="00EB5AF7"/>
    <w:rsid w:val="00EB75FF"/>
    <w:rsid w:val="00EC0457"/>
    <w:rsid w:val="00EC48B6"/>
    <w:rsid w:val="00EE0590"/>
    <w:rsid w:val="00EE5029"/>
    <w:rsid w:val="00EE7332"/>
    <w:rsid w:val="00EF0125"/>
    <w:rsid w:val="00EF4CD4"/>
    <w:rsid w:val="00EF6A84"/>
    <w:rsid w:val="00EF7664"/>
    <w:rsid w:val="00F078A1"/>
    <w:rsid w:val="00F13E90"/>
    <w:rsid w:val="00F2156F"/>
    <w:rsid w:val="00F25845"/>
    <w:rsid w:val="00F27B9C"/>
    <w:rsid w:val="00F37686"/>
    <w:rsid w:val="00F44CE5"/>
    <w:rsid w:val="00F54913"/>
    <w:rsid w:val="00F55B4A"/>
    <w:rsid w:val="00F73A9E"/>
    <w:rsid w:val="00F76C2E"/>
    <w:rsid w:val="00F82EEF"/>
    <w:rsid w:val="00F924FF"/>
    <w:rsid w:val="00F9257C"/>
    <w:rsid w:val="00F92FF6"/>
    <w:rsid w:val="00F97D07"/>
    <w:rsid w:val="00FA1171"/>
    <w:rsid w:val="00FA19CB"/>
    <w:rsid w:val="00FA471A"/>
    <w:rsid w:val="00FB037D"/>
    <w:rsid w:val="00FB11F9"/>
    <w:rsid w:val="00FB66C1"/>
    <w:rsid w:val="00FC4082"/>
    <w:rsid w:val="00FC6563"/>
    <w:rsid w:val="00FC7D2A"/>
    <w:rsid w:val="00FD3BC8"/>
    <w:rsid w:val="00FE1B4D"/>
    <w:rsid w:val="00FE6402"/>
    <w:rsid w:val="00FE707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1917A"/>
  <w15:docId w15:val="{7D43E9F0-B963-1E43-A45B-3D04FAC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D3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28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8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B7D"/>
  </w:style>
  <w:style w:type="paragraph" w:styleId="Pidipagina">
    <w:name w:val="footer"/>
    <w:basedOn w:val="Normale"/>
    <w:link w:val="PidipaginaCarattere"/>
    <w:uiPriority w:val="99"/>
    <w:unhideWhenUsed/>
    <w:rsid w:val="001B1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B7D"/>
  </w:style>
  <w:style w:type="character" w:styleId="Collegamentovisitato">
    <w:name w:val="FollowedHyperlink"/>
    <w:basedOn w:val="Carpredefinitoparagrafo"/>
    <w:uiPriority w:val="99"/>
    <w:semiHidden/>
    <w:unhideWhenUsed/>
    <w:rsid w:val="00D35994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9158C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D27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66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66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10F29F23DAD478060DF877786B416" ma:contentTypeVersion="12" ma:contentTypeDescription="Creare un nuovo documento." ma:contentTypeScope="" ma:versionID="40591ddac5f9cd1a20229c8aea57140e">
  <xsd:schema xmlns:xsd="http://www.w3.org/2001/XMLSchema" xmlns:xs="http://www.w3.org/2001/XMLSchema" xmlns:p="http://schemas.microsoft.com/office/2006/metadata/properties" xmlns:ns3="624657af-2b1c-4294-88db-48fadb0be267" xmlns:ns4="76c9f901-7092-4db3-95f5-1aac2a9a3e5b" targetNamespace="http://schemas.microsoft.com/office/2006/metadata/properties" ma:root="true" ma:fieldsID="0a3703b7fa1f84dd0e41b8db551ee1d6" ns3:_="" ns4:_="">
    <xsd:import namespace="624657af-2b1c-4294-88db-48fadb0be267"/>
    <xsd:import namespace="76c9f901-7092-4db3-95f5-1aac2a9a3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657af-2b1c-4294-88db-48fadb0be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9f901-7092-4db3-95f5-1aac2a9a3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AD68A-21F8-4E87-B37F-68A5B1A49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F6938-4607-4BC0-B3E8-0CA126334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52256-276A-4A49-820D-871EF407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657af-2b1c-4294-88db-48fadb0be267"/>
    <ds:schemaRef ds:uri="76c9f901-7092-4db3-95f5-1aac2a9a3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2776</Words>
  <Characters>14940</Characters>
  <Application>Microsoft Office Word</Application>
  <DocSecurity>0</DocSecurity>
  <Lines>196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Spina</dc:creator>
  <cp:keywords/>
  <dc:description/>
  <cp:lastModifiedBy>Stefano Celli</cp:lastModifiedBy>
  <cp:revision>2</cp:revision>
  <dcterms:created xsi:type="dcterms:W3CDTF">2021-07-27T08:22:00Z</dcterms:created>
  <dcterms:modified xsi:type="dcterms:W3CDTF">2021-07-27T08:22:00Z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0x01010094C10F29F23DAD478060DF877786B416</vt:lpwstr>
  </property>
</Properties>
</file>