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96C4" w14:textId="0EC8DC93" w:rsidR="00133590" w:rsidRDefault="0073325A" w:rsidP="005A3B3A">
      <w:pPr>
        <w:rPr>
          <w:b/>
          <w:bCs/>
        </w:rPr>
      </w:pPr>
      <w:r w:rsidRPr="0073325A">
        <w:rPr>
          <w:b/>
          <w:bCs/>
        </w:rPr>
        <w:t>GIANFRANCO AMENDOLA</w:t>
      </w:r>
    </w:p>
    <w:p w14:paraId="1177DB44" w14:textId="77777777" w:rsidR="0034404F" w:rsidRPr="0073325A" w:rsidRDefault="0034404F" w:rsidP="005A3B3A">
      <w:pPr>
        <w:rPr>
          <w:b/>
          <w:bCs/>
        </w:rPr>
      </w:pPr>
    </w:p>
    <w:p w14:paraId="23505E70" w14:textId="0217617A" w:rsidR="00133590" w:rsidRDefault="005E6488" w:rsidP="005A3B3A">
      <w:pPr>
        <w:rPr>
          <w:b/>
          <w:bCs/>
        </w:rPr>
      </w:pPr>
      <w:r>
        <w:rPr>
          <w:b/>
          <w:bCs/>
        </w:rPr>
        <w:t xml:space="preserve">           </w:t>
      </w:r>
      <w:r w:rsidR="0034404F">
        <w:rPr>
          <w:b/>
          <w:bCs/>
        </w:rPr>
        <w:t xml:space="preserve">Il MARE IN GABBIA E LE </w:t>
      </w:r>
      <w:r w:rsidR="00BB358A">
        <w:rPr>
          <w:b/>
          <w:bCs/>
        </w:rPr>
        <w:t xml:space="preserve">FURBIZIE </w:t>
      </w:r>
      <w:r w:rsidR="0034404F">
        <w:rPr>
          <w:b/>
          <w:bCs/>
        </w:rPr>
        <w:t>DI QUESTO GOVERNO</w:t>
      </w:r>
    </w:p>
    <w:p w14:paraId="70A7A1A6" w14:textId="77777777" w:rsidR="0034404F" w:rsidRPr="0073325A" w:rsidRDefault="0034404F" w:rsidP="005A3B3A">
      <w:pPr>
        <w:rPr>
          <w:b/>
          <w:bCs/>
        </w:rPr>
      </w:pPr>
    </w:p>
    <w:p w14:paraId="4150961D" w14:textId="601F9943" w:rsidR="00385CD8" w:rsidRDefault="005A3B3A" w:rsidP="005A3B3A">
      <w:r>
        <w:t>Basta con il mare in gabbia:  il mare e la spiaggia sono beni demaniali e, come tali, devono poter essere goduti gratuitamente da tutti mentre invece, buona parte di queste risorse</w:t>
      </w:r>
      <w:r w:rsidR="00FB70A5" w:rsidRPr="00FB70A5">
        <w:t xml:space="preserve"> </w:t>
      </w:r>
      <w:r w:rsidR="00DA573D">
        <w:t xml:space="preserve">risulta </w:t>
      </w:r>
      <w:r w:rsidR="00FB70A5" w:rsidRPr="00FB70A5">
        <w:t>privatizzata</w:t>
      </w:r>
      <w:r w:rsidR="00BF6CA0">
        <w:t xml:space="preserve"> </w:t>
      </w:r>
      <w:r w:rsidR="00FB70A5" w:rsidRPr="00FB70A5">
        <w:t xml:space="preserve">con concessioni </w:t>
      </w:r>
      <w:r w:rsidR="00C63B30">
        <w:t xml:space="preserve">sempre </w:t>
      </w:r>
      <w:r w:rsidR="00FB70A5" w:rsidRPr="00FB70A5">
        <w:t>prorogate</w:t>
      </w:r>
      <w:r w:rsidR="00C63B30">
        <w:t xml:space="preserve"> agli stessi gestori. </w:t>
      </w:r>
      <w:r>
        <w:t xml:space="preserve">E, se qualcuno vuole averne conferma, basta andare sul litorale laziale dove tutte le zone migliori sono state date da </w:t>
      </w:r>
      <w:r w:rsidR="00BF6CA0">
        <w:t>decenni i</w:t>
      </w:r>
      <w:r>
        <w:t>n concessione a privati che ne ricavano fior di profitti. Insomma, si arricchiscono utilizzando beni che sono di tutti</w:t>
      </w:r>
      <w:r w:rsidR="00385CD8">
        <w:t>,</w:t>
      </w:r>
      <w:r w:rsidR="001C2111">
        <w:t xml:space="preserve"> </w:t>
      </w:r>
      <w:r w:rsidR="00C63B30">
        <w:t xml:space="preserve">lasciando per il pubblico non pagante, come </w:t>
      </w:r>
      <w:r w:rsidR="001C2111">
        <w:t>“spiagge libere”</w:t>
      </w:r>
      <w:r w:rsidR="00C63B30">
        <w:t xml:space="preserve">, quelle meno appetibili e fruibili.  </w:t>
      </w:r>
    </w:p>
    <w:p w14:paraId="0DCB5897" w14:textId="4A061E18" w:rsidR="005A3B3A" w:rsidRDefault="00C63B30" w:rsidP="005A3B3A">
      <w:r>
        <w:t xml:space="preserve">Più in particolare, </w:t>
      </w:r>
      <w:r w:rsidR="0099041A">
        <w:t>s</w:t>
      </w:r>
      <w:r w:rsidR="00385CD8">
        <w:t>econdo gli ultimi dati, g</w:t>
      </w:r>
      <w:r w:rsidR="00F208A5" w:rsidRPr="00F208A5">
        <w:t xml:space="preserve">li stabilimenti balneari in Italia sono circa </w:t>
      </w:r>
      <w:r w:rsidR="00385CD8">
        <w:t>sette</w:t>
      </w:r>
      <w:r w:rsidR="00F208A5" w:rsidRPr="00F208A5">
        <w:t>mila e pagano in media</w:t>
      </w:r>
      <w:r w:rsidR="00431417">
        <w:t>, ciascuno,</w:t>
      </w:r>
      <w:r w:rsidR="00F208A5" w:rsidRPr="00F208A5">
        <w:t xml:space="preserve"> </w:t>
      </w:r>
      <w:r w:rsidR="00385CD8">
        <w:t xml:space="preserve">5000  </w:t>
      </w:r>
      <w:r w:rsidR="00F208A5" w:rsidRPr="00F208A5">
        <w:t>euro l’anno</w:t>
      </w:r>
      <w:r w:rsidR="00385CD8">
        <w:t>, ricavandone 1</w:t>
      </w:r>
      <w:r w:rsidR="00F208A5" w:rsidRPr="00F208A5">
        <w:t>80</w:t>
      </w:r>
      <w:r w:rsidR="00385CD8">
        <w:t>.000: ma è un’approssimazione per difetto visto che, s</w:t>
      </w:r>
      <w:r w:rsidR="00F208A5" w:rsidRPr="00F208A5">
        <w:t>econdo i</w:t>
      </w:r>
      <w:r w:rsidR="00385CD8">
        <w:t xml:space="preserve">l Fisco, </w:t>
      </w:r>
      <w:r w:rsidR="00F208A5" w:rsidRPr="00F208A5">
        <w:t xml:space="preserve">in due casi su tre le dichiarazioni presentate </w:t>
      </w:r>
      <w:r w:rsidR="00385CD8">
        <w:t>“</w:t>
      </w:r>
      <w:r w:rsidR="00F208A5" w:rsidRPr="00385CD8">
        <w:rPr>
          <w:i/>
          <w:iCs/>
        </w:rPr>
        <w:t xml:space="preserve">non sono </w:t>
      </w:r>
      <w:r w:rsidR="00385CD8" w:rsidRPr="00385CD8">
        <w:rPr>
          <w:i/>
          <w:iCs/>
        </w:rPr>
        <w:t>congrue</w:t>
      </w:r>
      <w:r w:rsidR="00385CD8">
        <w:t xml:space="preserve">”. </w:t>
      </w:r>
    </w:p>
    <w:p w14:paraId="4D3A1232" w14:textId="7B387314" w:rsidR="005A3B3A" w:rsidRDefault="00BF6CA0" w:rsidP="005A3B3A">
      <w:r>
        <w:t>Insomma, è</w:t>
      </w:r>
      <w:r w:rsidR="00385CD8">
        <w:t xml:space="preserve"> veramente uno scandalo che, peraltro, è già stato </w:t>
      </w:r>
      <w:r w:rsidR="00431417">
        <w:t xml:space="preserve">condannato </w:t>
      </w:r>
      <w:r w:rsidR="001D3135">
        <w:t xml:space="preserve">nettamente </w:t>
      </w:r>
      <w:r w:rsidR="00431417">
        <w:t>non solo dall’Autorità Garante della Concorrenza e del Mercato (AGCOM) ma anche</w:t>
      </w:r>
      <w:r w:rsidR="00721AE6">
        <w:t>, e più volte,</w:t>
      </w:r>
      <w:r w:rsidR="00431417">
        <w:t xml:space="preserve"> </w:t>
      </w:r>
      <w:r w:rsidR="00385CD8">
        <w:t>in tutte le sedi giudiziarie</w:t>
      </w:r>
      <w:r w:rsidR="001C2111">
        <w:t xml:space="preserve">, </w:t>
      </w:r>
      <w:r w:rsidR="001C2111" w:rsidRPr="001C2111">
        <w:t xml:space="preserve">dalla Cassazione </w:t>
      </w:r>
      <w:r w:rsidR="001C2111">
        <w:t>al Consiglio di Stato</w:t>
      </w:r>
      <w:r w:rsidR="00431417">
        <w:t xml:space="preserve">; </w:t>
      </w:r>
      <w:r w:rsidR="001D3135">
        <w:t xml:space="preserve">nonchè censurata dalla </w:t>
      </w:r>
      <w:r w:rsidR="001C2111" w:rsidRPr="001C2111">
        <w:t>Commissione europea</w:t>
      </w:r>
      <w:r w:rsidR="00431417">
        <w:t xml:space="preserve">, </w:t>
      </w:r>
      <w:r w:rsidR="001D3135">
        <w:t xml:space="preserve">la quale ha recentemente aperto </w:t>
      </w:r>
      <w:r w:rsidR="001C2111">
        <w:t xml:space="preserve">una </w:t>
      </w:r>
      <w:r w:rsidR="001D3135">
        <w:t xml:space="preserve">nuova </w:t>
      </w:r>
      <w:r w:rsidR="001C2111">
        <w:t>procedura di infrazione contro l’Italia</w:t>
      </w:r>
      <w:r w:rsidR="001C2111" w:rsidRPr="001C2111">
        <w:t xml:space="preserve"> con un parere di circa 30 pagine</w:t>
      </w:r>
      <w:r w:rsidR="001C2111">
        <w:t xml:space="preserve">, </w:t>
      </w:r>
      <w:r w:rsidR="00431417">
        <w:t xml:space="preserve">in cui si contesta </w:t>
      </w:r>
      <w:r w:rsidR="00D53D92">
        <w:t>il mancato rispetto della direttiva europea Bolkestein sulle gare pubbliche per le concessioni di demanio marittimo</w:t>
      </w:r>
      <w:r w:rsidR="001C2111">
        <w:t xml:space="preserve"> e</w:t>
      </w:r>
      <w:r w:rsidR="00431417">
        <w:t xml:space="preserve"> si evidenzia </w:t>
      </w:r>
      <w:r w:rsidR="001C2111">
        <w:t xml:space="preserve">che i continui rinvii per le gare </w:t>
      </w:r>
      <w:r w:rsidR="001C2111" w:rsidRPr="001C2111">
        <w:t>rappresenta</w:t>
      </w:r>
      <w:r w:rsidR="001C2111">
        <w:t>no</w:t>
      </w:r>
      <w:r w:rsidR="00431417">
        <w:t>,</w:t>
      </w:r>
      <w:r w:rsidR="00431417" w:rsidRPr="00431417">
        <w:t xml:space="preserve"> in contrasto col diritto europeo</w:t>
      </w:r>
      <w:r w:rsidR="00C63B30">
        <w:t>,</w:t>
      </w:r>
      <w:r w:rsidR="00431417" w:rsidRPr="00431417">
        <w:t xml:space="preserve"> </w:t>
      </w:r>
      <w:r w:rsidR="001C2111" w:rsidRPr="001C2111">
        <w:t xml:space="preserve">un rinnovo automatico delle concessioni esistenti </w:t>
      </w:r>
      <w:r w:rsidR="00C63B30">
        <w:t xml:space="preserve">sempre </w:t>
      </w:r>
      <w:r w:rsidR="001C2111" w:rsidRPr="001C2111">
        <w:t>ai medesimi titolari</w:t>
      </w:r>
      <w:r w:rsidR="00431417">
        <w:t>.</w:t>
      </w:r>
      <w:r w:rsidR="00477855">
        <w:t xml:space="preserve"> E non è mancata neppure la condanna della Corte Costituzionale </w:t>
      </w:r>
      <w:r w:rsidR="003911D5">
        <w:t>la quale</w:t>
      </w:r>
      <w:r w:rsidR="001D3135">
        <w:t>,</w:t>
      </w:r>
      <w:r w:rsidR="003911D5">
        <w:t xml:space="preserve"> </w:t>
      </w:r>
      <w:r w:rsidR="001D3135" w:rsidRPr="001D3135">
        <w:t xml:space="preserve">da ultimo </w:t>
      </w:r>
      <w:r w:rsidR="00477855">
        <w:t>(sentenza n. 109 del 6 aprile 2024)</w:t>
      </w:r>
      <w:r w:rsidR="001D3135">
        <w:t>,</w:t>
      </w:r>
      <w:r w:rsidR="00477855">
        <w:t xml:space="preserve"> </w:t>
      </w:r>
      <w:r w:rsidR="00477855" w:rsidRPr="00477855">
        <w:t xml:space="preserve">ha osservato </w:t>
      </w:r>
      <w:r w:rsidR="00477855">
        <w:t xml:space="preserve">che </w:t>
      </w:r>
      <w:r w:rsidR="00477855" w:rsidRPr="00477855">
        <w:t>lo stabilimento balneare utilizza a fini imprenditoriali la disponibilità esclusiva di un bene pubblico caratterizzato dalla “</w:t>
      </w:r>
      <w:r w:rsidR="00477855" w:rsidRPr="0099041A">
        <w:rPr>
          <w:i/>
          <w:iCs/>
        </w:rPr>
        <w:t>scarsità</w:t>
      </w:r>
      <w:r w:rsidR="00477855" w:rsidRPr="00477855">
        <w:t>” della relativa risorsa,</w:t>
      </w:r>
      <w:r w:rsidR="0099041A">
        <w:t xml:space="preserve"> </w:t>
      </w:r>
      <w:r w:rsidR="00C63B30">
        <w:t xml:space="preserve">evidenziando che </w:t>
      </w:r>
      <w:r w:rsidR="00477855">
        <w:t>“</w:t>
      </w:r>
      <w:r w:rsidR="00477855" w:rsidRPr="00477855">
        <w:rPr>
          <w:i/>
          <w:iCs/>
        </w:rPr>
        <w:t>il diritto dell’Unione europea sottopone il rilascio del titolo autorizzativo a stringenti condizioni, atte a favorire il ricambio tra gli operatori e a rimuovere gli ostacoli all’ingresso nel mercato di riferimento</w:t>
      </w:r>
      <w:r w:rsidR="00477855">
        <w:t>”</w:t>
      </w:r>
      <w:r w:rsidR="0082023B">
        <w:t xml:space="preserve">, </w:t>
      </w:r>
      <w:r w:rsidR="0082023B" w:rsidRPr="0082023B">
        <w:t xml:space="preserve">con il conseguente obbligo di procedere alla disapplicazione della normativa nazionale; </w:t>
      </w:r>
      <w:r w:rsidR="0082023B">
        <w:t xml:space="preserve">tanto più che non esiste alcun </w:t>
      </w:r>
      <w:r w:rsidR="0082023B" w:rsidRPr="0082023B">
        <w:t>diritto alla prosecuzione del rapporto concessorio in capo all’operatore uscente</w:t>
      </w:r>
      <w:r w:rsidR="00367BF9">
        <w:rPr>
          <w:rStyle w:val="Rimandonotaapidipagina"/>
        </w:rPr>
        <w:footnoteReference w:id="1"/>
      </w:r>
      <w:r w:rsidR="0082023B">
        <w:t xml:space="preserve">. </w:t>
      </w:r>
      <w:r w:rsidR="00DA573D">
        <w:t xml:space="preserve">Trovando immediato riscontro </w:t>
      </w:r>
      <w:r w:rsidR="00504451">
        <w:t xml:space="preserve">nella </w:t>
      </w:r>
      <w:r w:rsidR="00477855" w:rsidRPr="00477855">
        <w:t xml:space="preserve">Corte </w:t>
      </w:r>
      <w:r>
        <w:t xml:space="preserve">europea </w:t>
      </w:r>
      <w:r w:rsidR="00477855" w:rsidRPr="00477855">
        <w:t>di giustizia la quale</w:t>
      </w:r>
      <w:r w:rsidR="003911D5">
        <w:t>, da ultimo</w:t>
      </w:r>
      <w:r w:rsidR="001D3135" w:rsidRPr="001D3135">
        <w:t xml:space="preserve"> </w:t>
      </w:r>
      <w:r w:rsidR="001D3135">
        <w:t>(</w:t>
      </w:r>
      <w:r w:rsidR="001D3135" w:rsidRPr="001D3135">
        <w:t>sentenza 11 luglio 2024, causa C-598/22)</w:t>
      </w:r>
      <w:r w:rsidR="003911D5">
        <w:t>,</w:t>
      </w:r>
      <w:r w:rsidR="00477855" w:rsidRPr="00477855">
        <w:t xml:space="preserve"> </w:t>
      </w:r>
      <w:r w:rsidR="0099041A">
        <w:t xml:space="preserve">ha sottolineato che </w:t>
      </w:r>
      <w:r w:rsidR="00477855" w:rsidRPr="00477855">
        <w:t xml:space="preserve">il carattere precario della concessione </w:t>
      </w:r>
      <w:r w:rsidR="0099041A">
        <w:t xml:space="preserve">è </w:t>
      </w:r>
      <w:r w:rsidR="00477855" w:rsidRPr="00477855">
        <w:t>funzionale alla stessa inalienabilità del demanio</w:t>
      </w:r>
      <w:r w:rsidR="0099041A">
        <w:t>. E pertanto “</w:t>
      </w:r>
      <w:r w:rsidR="00477855" w:rsidRPr="0099041A">
        <w:rPr>
          <w:i/>
          <w:iCs/>
        </w:rPr>
        <w:t>il principio di inalienabilità implica segnatamente che il demanio pubblico resta di proprietà di soggetti pubblici e che le autorizzazioni di occupazione demaniali hanno carattere precario, nel senso che esse hanno una durata determinata e sono inoltre revocabili</w:t>
      </w:r>
      <w:r w:rsidR="0099041A">
        <w:t>”</w:t>
      </w:r>
      <w:r w:rsidR="00504451">
        <w:t>;</w:t>
      </w:r>
      <w:r w:rsidR="0099041A">
        <w:t xml:space="preserve"> con la conseguente i</w:t>
      </w:r>
      <w:r w:rsidR="00504451">
        <w:t xml:space="preserve">llegittimità    </w:t>
      </w:r>
      <w:r w:rsidR="0099041A">
        <w:t xml:space="preserve">delle </w:t>
      </w:r>
      <w:r w:rsidR="001D3135">
        <w:t xml:space="preserve">innumerevoli </w:t>
      </w:r>
      <w:r w:rsidR="0099041A">
        <w:t>proroghe italiane</w:t>
      </w:r>
      <w:r w:rsidR="001D18D1">
        <w:t xml:space="preserve"> a favore </w:t>
      </w:r>
      <w:r w:rsidR="00504451">
        <w:t xml:space="preserve">sempre </w:t>
      </w:r>
      <w:r w:rsidR="001D18D1">
        <w:t>degli stessi gestori</w:t>
      </w:r>
      <w:r w:rsidR="0099041A">
        <w:t xml:space="preserve">. </w:t>
      </w:r>
    </w:p>
    <w:p w14:paraId="3035D5B5" w14:textId="573878B9" w:rsidR="001D3FB9" w:rsidRDefault="00721AE6" w:rsidP="001D3FB9">
      <w:r>
        <w:t xml:space="preserve">In </w:t>
      </w:r>
      <w:r w:rsidR="00050E85">
        <w:t xml:space="preserve">conclusione, </w:t>
      </w:r>
      <w:r>
        <w:t xml:space="preserve">quindi, </w:t>
      </w:r>
      <w:r w:rsidRPr="00721AE6">
        <w:t>le proroghe</w:t>
      </w:r>
      <w:r w:rsidR="001D18D1">
        <w:t xml:space="preserve"> italiane</w:t>
      </w:r>
      <w:r w:rsidR="00504451">
        <w:t xml:space="preserve">, in quanto </w:t>
      </w:r>
      <w:r w:rsidRPr="00721AE6">
        <w:t xml:space="preserve">contrastanti con </w:t>
      </w:r>
      <w:r w:rsidR="00504451">
        <w:t xml:space="preserve">la nostra Costituzione e con </w:t>
      </w:r>
      <w:r w:rsidRPr="00721AE6">
        <w:t>il diritto dell’Unione europea</w:t>
      </w:r>
      <w:r w:rsidR="00504451">
        <w:t xml:space="preserve"> sono </w:t>
      </w:r>
      <w:r w:rsidR="000B3834">
        <w:t xml:space="preserve">illegittime e </w:t>
      </w:r>
      <w:r w:rsidRPr="00721AE6">
        <w:t>disapplicabili dal giudice nazionale e dalla pubblica amministrazione.</w:t>
      </w:r>
      <w:r w:rsidR="001D18D1">
        <w:t xml:space="preserve"> </w:t>
      </w:r>
      <w:r w:rsidR="00420A8A">
        <w:t xml:space="preserve">Ed appare altrettanto evidente </w:t>
      </w:r>
      <w:r w:rsidR="00ED6B2C">
        <w:t>che, specie dopo le ultime recentissime conferme giudiziarie, la s</w:t>
      </w:r>
      <w:r w:rsidR="001D18D1">
        <w:t xml:space="preserve">ituazione era  divenuta </w:t>
      </w:r>
      <w:r w:rsidR="001D18D1" w:rsidRPr="001D18D1">
        <w:t xml:space="preserve">ormai </w:t>
      </w:r>
      <w:r w:rsidR="001D3FB9">
        <w:t>insostenibile</w:t>
      </w:r>
      <w:r w:rsidR="001D18D1">
        <w:t xml:space="preserve">, per cui </w:t>
      </w:r>
      <w:r w:rsidR="001D3FB9">
        <w:t>era</w:t>
      </w:r>
      <w:r w:rsidR="001D18D1">
        <w:t xml:space="preserve"> auspicabile e </w:t>
      </w:r>
      <w:r w:rsidR="001D3FB9">
        <w:t>prevedibile un deciso intervento normativo per rientrare nella legalità</w:t>
      </w:r>
      <w:r w:rsidR="00ED6B2C">
        <w:t xml:space="preserve"> costituzionale e comunitaria</w:t>
      </w:r>
      <w:r w:rsidR="001D3FB9">
        <w:t xml:space="preserve">. </w:t>
      </w:r>
    </w:p>
    <w:p w14:paraId="47DA6C36" w14:textId="0AF749FD" w:rsidR="00916B09" w:rsidRDefault="001D18D1" w:rsidP="001D3FB9">
      <w:r>
        <w:t>Proprio per questo veniva emanato</w:t>
      </w:r>
      <w:r w:rsidR="00DB0249">
        <w:t xml:space="preserve"> dall’attuale governo </w:t>
      </w:r>
      <w:r w:rsidR="001D3FB9">
        <w:t>il decreto legge 6 settembre 2024, n. 131</w:t>
      </w:r>
      <w:r w:rsidR="00D1551F">
        <w:t>, recante “</w:t>
      </w:r>
      <w:r w:rsidR="00D1551F" w:rsidRPr="00D1551F">
        <w:rPr>
          <w:i/>
          <w:iCs/>
        </w:rPr>
        <w:t>d</w:t>
      </w:r>
      <w:r w:rsidR="001D3FB9" w:rsidRPr="00D1551F">
        <w:rPr>
          <w:i/>
          <w:iCs/>
        </w:rPr>
        <w:t>isposizioni urgenti per l'attuazione di obblighi derivanti da atti dell'Unione europea e da procedure di infrazione e pre-infrazione pendenti nei confronti dello Stato italiano</w:t>
      </w:r>
      <w:r w:rsidR="00D1551F">
        <w:t>”, attualmente all’esame del Parlamento per la conversione in legge</w:t>
      </w:r>
      <w:r w:rsidR="00D7267C">
        <w:t>.</w:t>
      </w:r>
      <w:r>
        <w:t xml:space="preserve"> </w:t>
      </w:r>
    </w:p>
    <w:p w14:paraId="4CE1E207" w14:textId="621D5661" w:rsidR="00D975C9" w:rsidRDefault="001D18D1" w:rsidP="001D3FB9">
      <w:r>
        <w:t>A questo punto</w:t>
      </w:r>
      <w:r w:rsidR="00916B09">
        <w:t xml:space="preserve">, se pure, ovviamente bisognerà </w:t>
      </w:r>
      <w:r>
        <w:t>attendere il testo definitivo</w:t>
      </w:r>
      <w:r w:rsidR="00916B09">
        <w:t>, vale, tuttavia la pena sin da ora</w:t>
      </w:r>
      <w:r w:rsidR="000F5B65">
        <w:t xml:space="preserve"> </w:t>
      </w:r>
      <w:r w:rsidR="00916B09">
        <w:t xml:space="preserve">di evidenziarne sommariamente i </w:t>
      </w:r>
      <w:r w:rsidR="000F5B65">
        <w:t xml:space="preserve">tre </w:t>
      </w:r>
      <w:r w:rsidR="00916B09">
        <w:t xml:space="preserve">punti fondamentali: </w:t>
      </w:r>
      <w:r w:rsidR="00D975C9" w:rsidRPr="00D975C9">
        <w:t>la possibilità di estendere le concessioni fino al 30 settembre 2027, i criteri per selezionare i nuovi gestori e le regole per calcolare gli indennizzi agli uscenti.</w:t>
      </w:r>
    </w:p>
    <w:p w14:paraId="3A7A01A9" w14:textId="228A6734" w:rsidR="00061325" w:rsidRDefault="00916B09" w:rsidP="00061325">
      <w:r>
        <w:lastRenderedPageBreak/>
        <w:t>Quanto al primo, i</w:t>
      </w:r>
      <w:r w:rsidR="00D7267C">
        <w:t xml:space="preserve">l decreto legge proroga le </w:t>
      </w:r>
      <w:r w:rsidR="00D975C9">
        <w:t>c</w:t>
      </w:r>
      <w:r w:rsidR="005A3B3A">
        <w:t>oncessioni balneari</w:t>
      </w:r>
      <w:r w:rsidR="00133590">
        <w:t xml:space="preserve"> esistenti</w:t>
      </w:r>
      <w:r w:rsidR="005A3B3A">
        <w:t xml:space="preserve"> fino al settembre 2027 </w:t>
      </w:r>
      <w:r w:rsidR="00D7267C">
        <w:t>con possibilità di arrivare, in alcune circostanze, fino al marzo 2028</w:t>
      </w:r>
      <w:r w:rsidR="00ED6B2C">
        <w:rPr>
          <w:rStyle w:val="Rimandonotaapidipagina"/>
        </w:rPr>
        <w:footnoteReference w:id="2"/>
      </w:r>
      <w:r w:rsidR="00D7267C">
        <w:t>.</w:t>
      </w:r>
      <w:r>
        <w:t xml:space="preserve"> A </w:t>
      </w:r>
      <w:r w:rsidR="00061325">
        <w:t xml:space="preserve">tal </w:t>
      </w:r>
      <w:r>
        <w:t xml:space="preserve">fine </w:t>
      </w:r>
      <w:r w:rsidR="00D975C9" w:rsidRPr="00D975C9">
        <w:t xml:space="preserve">scarica la scelta sui Comuni, che avranno la facoltà di applicare </w:t>
      </w:r>
      <w:r>
        <w:t xml:space="preserve">direttamente </w:t>
      </w:r>
      <w:r w:rsidR="00D975C9" w:rsidRPr="00D975C9">
        <w:t xml:space="preserve">la proroga oppure </w:t>
      </w:r>
      <w:r>
        <w:t xml:space="preserve">di </w:t>
      </w:r>
      <w:r w:rsidR="00D975C9" w:rsidRPr="00D975C9">
        <w:t xml:space="preserve">avviare i </w:t>
      </w:r>
      <w:r w:rsidR="00061325">
        <w:t xml:space="preserve">relativi </w:t>
      </w:r>
      <w:r w:rsidR="00D975C9" w:rsidRPr="00D975C9">
        <w:t xml:space="preserve">bandi. </w:t>
      </w:r>
      <w:r w:rsidR="00061325">
        <w:t xml:space="preserve">Tuttavia, </w:t>
      </w:r>
      <w:r w:rsidR="000F5B65">
        <w:t xml:space="preserve">per questa seconda ipotesi, </w:t>
      </w:r>
      <w:r w:rsidR="00061325">
        <w:t xml:space="preserve">vengono  rimandati a </w:t>
      </w:r>
      <w:r w:rsidR="00061325" w:rsidRPr="00061325">
        <w:t>fine marzo 2025 alcuni atti preliminari necessari alla predisposizione delle gare</w:t>
      </w:r>
      <w:r w:rsidR="00061325">
        <w:t xml:space="preserve"> (</w:t>
      </w:r>
      <w:r w:rsidR="00061325" w:rsidRPr="00061325">
        <w:t>quali i criteri di individuazione dei canoni, il loro valore e i criteri per gli indennizzi ai concessionari uscenti</w:t>
      </w:r>
      <w:r w:rsidR="00061325">
        <w:t>)</w:t>
      </w:r>
      <w:r w:rsidR="000F5B65">
        <w:t>;</w:t>
      </w:r>
      <w:r w:rsidR="00061325">
        <w:t xml:space="preserve"> </w:t>
      </w:r>
      <w:r w:rsidR="000F5B65">
        <w:t xml:space="preserve">con tutte le difficoltà che ne derivano per i </w:t>
      </w:r>
      <w:r w:rsidR="00061325">
        <w:t>C</w:t>
      </w:r>
      <w:r w:rsidR="00061325" w:rsidRPr="00061325">
        <w:t>omuni che volessero anticipare le gare.</w:t>
      </w:r>
      <w:r w:rsidR="00DB0249">
        <w:t xml:space="preserve"> </w:t>
      </w:r>
      <w:r w:rsidR="00D975C9" w:rsidRPr="00D975C9">
        <w:t xml:space="preserve">In ogni caso, </w:t>
      </w:r>
      <w:r w:rsidR="00061325">
        <w:t xml:space="preserve">tuttavia, </w:t>
      </w:r>
      <w:r w:rsidR="00D975C9" w:rsidRPr="00D975C9">
        <w:t xml:space="preserve">la durata delle nuove concessioni dovrà essere di almeno cinque </w:t>
      </w:r>
      <w:r w:rsidR="00ED6B2C">
        <w:t xml:space="preserve">anni </w:t>
      </w:r>
      <w:r w:rsidR="00D975C9" w:rsidRPr="00D975C9">
        <w:t>"</w:t>
      </w:r>
      <w:r w:rsidR="00D975C9" w:rsidRPr="00061325">
        <w:rPr>
          <w:i/>
          <w:iCs/>
        </w:rPr>
        <w:t>al fine di garantire al concessionario di ammortizzare gli investimenti effettuati</w:t>
      </w:r>
      <w:r w:rsidR="00D975C9" w:rsidRPr="00D975C9">
        <w:t>".</w:t>
      </w:r>
      <w:r w:rsidR="00061325">
        <w:t xml:space="preserve"> </w:t>
      </w:r>
    </w:p>
    <w:p w14:paraId="7335A599" w14:textId="2DC542EC" w:rsidR="00CC2766" w:rsidRDefault="00061325" w:rsidP="00061325">
      <w:r w:rsidRPr="00061325">
        <w:t>Per quanto riguarda i criteri delle gare, il decreto stabilisce che gli enti locali debbano tenere conto</w:t>
      </w:r>
      <w:r w:rsidR="00A94D1B">
        <w:t>, tra l’altro: dell</w:t>
      </w:r>
      <w:r w:rsidR="00A94D1B" w:rsidRPr="00A94D1B">
        <w:t xml:space="preserve">a qualità e </w:t>
      </w:r>
      <w:r w:rsidR="00A94D1B">
        <w:t>del</w:t>
      </w:r>
      <w:r w:rsidR="00A94D1B" w:rsidRPr="00A94D1B">
        <w:t>le condizioni del servizio offerto agli utenti</w:t>
      </w:r>
      <w:r w:rsidR="00A94D1B">
        <w:t xml:space="preserve">, </w:t>
      </w:r>
      <w:r w:rsidR="00A94D1B" w:rsidRPr="00A94D1B">
        <w:t xml:space="preserve"> </w:t>
      </w:r>
      <w:r w:rsidR="00A94D1B">
        <w:t>del</w:t>
      </w:r>
      <w:r w:rsidR="00A94D1B" w:rsidRPr="00A94D1B">
        <w:t xml:space="preserve">la qualità degli impianti, dei manufatti e di ogni altro bene da asservire alla concessione </w:t>
      </w:r>
      <w:r w:rsidRPr="00061325">
        <w:t>dei progetti più virtuosi in termini di pratiche sociali e ambientali</w:t>
      </w:r>
      <w:r w:rsidR="00C65E7D">
        <w:t>;</w:t>
      </w:r>
      <w:r w:rsidR="000F5B65">
        <w:t xml:space="preserve"> </w:t>
      </w:r>
      <w:r w:rsidR="00A94D1B">
        <w:t>dell’</w:t>
      </w:r>
      <w:r w:rsidRPr="00061325">
        <w:t>assunzione di giovani lavoratori</w:t>
      </w:r>
      <w:r w:rsidR="00A94D1B">
        <w:t xml:space="preserve"> (meno di 36 anni)</w:t>
      </w:r>
      <w:r w:rsidR="00C65E7D">
        <w:t xml:space="preserve">; </w:t>
      </w:r>
      <w:r w:rsidR="00A94D1B">
        <w:t>dell’</w:t>
      </w:r>
      <w:r w:rsidRPr="00061325">
        <w:t xml:space="preserve">accessibilità ai disabili e </w:t>
      </w:r>
      <w:r w:rsidR="00A94D1B">
        <w:t xml:space="preserve">del </w:t>
      </w:r>
      <w:r w:rsidRPr="00061325">
        <w:t xml:space="preserve">rispetto delle tradizioni enogastronomiche e folkloristiche locali. Inoltre impone di </w:t>
      </w:r>
      <w:r w:rsidR="00CC2766" w:rsidRPr="00CC2766">
        <w:t>agevolare la partecipazione delle microimprese, delle piccole imprese e delle imprese giovanili</w:t>
      </w:r>
      <w:r w:rsidR="00CC2766">
        <w:t xml:space="preserve">, </w:t>
      </w:r>
      <w:r w:rsidRPr="00061325">
        <w:t>privilegia</w:t>
      </w:r>
      <w:r w:rsidR="00CC2766">
        <w:t xml:space="preserve">ndo </w:t>
      </w:r>
      <w:r w:rsidRPr="00061325">
        <w:t>chi ha esperienza tecnica e professionale nel settore e chi, nei cinque anni precedenti al bando, ha tratto da una concessione balneare l</w:t>
      </w:r>
      <w:r w:rsidR="00A94D1B">
        <w:t xml:space="preserve">a prevalente </w:t>
      </w:r>
      <w:r w:rsidRPr="00061325">
        <w:t xml:space="preserve">fonte di reddito per sé e </w:t>
      </w:r>
      <w:r w:rsidR="00A94D1B" w:rsidRPr="00A94D1B">
        <w:t>il proprio nucleo familiare</w:t>
      </w:r>
      <w:r w:rsidR="00C65E7D">
        <w:t>.</w:t>
      </w:r>
      <w:r w:rsidR="00ED6B2C">
        <w:t xml:space="preserve"> </w:t>
      </w:r>
      <w:r w:rsidR="00C65E7D">
        <w:t xml:space="preserve">Si noti che, in questo quadro, </w:t>
      </w:r>
      <w:r w:rsidRPr="00061325">
        <w:t>t</w:t>
      </w:r>
      <w:r w:rsidR="000F5B65">
        <w:t>ut</w:t>
      </w:r>
      <w:r w:rsidRPr="00061325">
        <w:t xml:space="preserve">tavia, </w:t>
      </w:r>
      <w:r w:rsidR="000F5B65">
        <w:t xml:space="preserve">è anche prevista </w:t>
      </w:r>
      <w:r w:rsidRPr="00061325">
        <w:t xml:space="preserve">la possibilità di favorire chi presenta la maggiore offerta sull’indennizzo </w:t>
      </w:r>
      <w:r w:rsidR="00C65E7D">
        <w:t>per il concessionario uscente</w:t>
      </w:r>
      <w:r w:rsidR="000F5B65">
        <w:t xml:space="preserve">; disposizione non chiara che </w:t>
      </w:r>
      <w:r w:rsidR="005F4EBE">
        <w:t>potrebbe favorire i concorrenti con ingenti capitali escludendo i meno abbienti</w:t>
      </w:r>
      <w:r w:rsidR="00DB0249">
        <w:t>,</w:t>
      </w:r>
      <w:r w:rsidR="005F4EBE">
        <w:t xml:space="preserve"> in palese contrasto con l’asserita volontà di favorire, invece, le imprese piccole e giovanili.  Tanto più che</w:t>
      </w:r>
      <w:r w:rsidR="00F459D2">
        <w:t>, i</w:t>
      </w:r>
      <w:r w:rsidR="00F459D2" w:rsidRPr="00F459D2">
        <w:t xml:space="preserve">n caso di rilascio della concessione a favore di un nuovo </w:t>
      </w:r>
      <w:r w:rsidR="00ED6B2C">
        <w:t>soggetto</w:t>
      </w:r>
      <w:r w:rsidR="00F459D2" w:rsidRPr="00F459D2">
        <w:t>, il perfezionamento del nuovo rapporto concessorio è subordinato all'avvenuto pagamento dell'indennizzo da parte del concessionario subentrante in misura non inferiore al venti per cento</w:t>
      </w:r>
      <w:r w:rsidR="00F459D2">
        <w:t>; con l’aggiunta che i</w:t>
      </w:r>
      <w:r w:rsidR="00F459D2" w:rsidRPr="00F459D2">
        <w:t xml:space="preserve">l mancato tempestivo pagamento di cui </w:t>
      </w:r>
      <w:r w:rsidR="00F459D2">
        <w:t xml:space="preserve">sopra </w:t>
      </w:r>
      <w:r w:rsidR="00F459D2" w:rsidRPr="00F459D2">
        <w:t xml:space="preserve">è motivo di decadenza dalla concessione </w:t>
      </w:r>
      <w:r w:rsidR="00ED6B2C">
        <w:t xml:space="preserve">anche se </w:t>
      </w:r>
      <w:r w:rsidR="00F459D2" w:rsidRPr="00F459D2">
        <w:t>non determina la prosecuzione, in qualsiasi forma o modalità comunque denominata, del precedente rapporto concessorio.</w:t>
      </w:r>
    </w:p>
    <w:p w14:paraId="6AB5985C" w14:textId="1AFFB049" w:rsidR="00DB0249" w:rsidRDefault="00F459D2" w:rsidP="00061325">
      <w:r>
        <w:t xml:space="preserve">Appare chiara, a questo punto, l’importanza della definizione dell’indennizzo per gli uscenti a cui carico, peraltro, si può imporre di abbattere, a </w:t>
      </w:r>
      <w:r w:rsidR="00760AE7">
        <w:t xml:space="preserve">loro </w:t>
      </w:r>
      <w:r>
        <w:t xml:space="preserve">spese, le opere </w:t>
      </w:r>
      <w:r w:rsidRPr="00F459D2">
        <w:t xml:space="preserve">non amovibili autorizzate e </w:t>
      </w:r>
      <w:r>
        <w:t>da l</w:t>
      </w:r>
      <w:r w:rsidR="00760AE7">
        <w:t xml:space="preserve">oro </w:t>
      </w:r>
      <w:r>
        <w:t xml:space="preserve"> </w:t>
      </w:r>
      <w:r w:rsidRPr="00F459D2">
        <w:t>realizzate</w:t>
      </w:r>
      <w:r>
        <w:t>. E</w:t>
      </w:r>
      <w:r w:rsidR="00DB0249">
        <w:t xml:space="preserve">d </w:t>
      </w:r>
      <w:r w:rsidR="00760AE7">
        <w:t xml:space="preserve">è </w:t>
      </w:r>
      <w:r w:rsidR="00DB0249">
        <w:t>questa la maggiore criticità del decreto legge</w:t>
      </w:r>
      <w:r w:rsidR="00BB358A">
        <w:t xml:space="preserve"> in esame,</w:t>
      </w:r>
      <w:r w:rsidR="00DB0249">
        <w:t xml:space="preserve"> in quanto </w:t>
      </w:r>
      <w:r w:rsidR="00133590">
        <w:t>si prevede</w:t>
      </w:r>
      <w:r w:rsidR="00BB358A">
        <w:t xml:space="preserve"> per questo </w:t>
      </w:r>
      <w:r w:rsidR="00133590">
        <w:t xml:space="preserve"> u</w:t>
      </w:r>
      <w:r w:rsidR="00133590" w:rsidRPr="00133590">
        <w:t>na procedura lunga e complicata in cui intervengono anche  professionisti privati</w:t>
      </w:r>
      <w:r w:rsidR="00133590">
        <w:t xml:space="preserve"> scelti dai Comuni, rinviando peraltro </w:t>
      </w:r>
      <w:r w:rsidR="00DB0249">
        <w:t xml:space="preserve">la determinazione delle modalità di calcolo </w:t>
      </w:r>
      <w:r w:rsidR="00D7267C" w:rsidRPr="00D7267C">
        <w:t>a un successivo decreto attuativo, che il Ministero delle Infrastrutture dovr</w:t>
      </w:r>
      <w:r w:rsidR="00DB0249">
        <w:t xml:space="preserve">ebbe (il condizionale è d’obbligo) </w:t>
      </w:r>
      <w:r w:rsidR="00D7267C" w:rsidRPr="00D7267C">
        <w:t>emanare entro il 31 marzo del prossimo anno</w:t>
      </w:r>
      <w:r w:rsidR="00BB358A">
        <w:t>;</w:t>
      </w:r>
      <w:r w:rsidR="00DB0249">
        <w:t xml:space="preserve"> bloccando, di fatto, nel frattempo qualsiasi iniziativa innovativa dei Comuni. </w:t>
      </w:r>
    </w:p>
    <w:p w14:paraId="2CE466EE" w14:textId="786189AD" w:rsidR="00DB0249" w:rsidRDefault="00DC2AC9" w:rsidP="00061325">
      <w:r>
        <w:t xml:space="preserve">Insomma, appare già evidente che, in questo modo, pur accettando formalmente di rinnovare, l’attuale governo sta ponendo tutte le premesse per mantenere ancora a lungo la situazione attuale e per favorire, quando e se ci sarà la sostituzione, il subentro di grandi capitali. </w:t>
      </w:r>
    </w:p>
    <w:p w14:paraId="4D8728FF" w14:textId="18176CB4" w:rsidR="00BF5AD9" w:rsidRDefault="00DC2AC9" w:rsidP="005A3B3A">
      <w:r>
        <w:t>Lascia, quindi, stupefatti il giudizio della</w:t>
      </w:r>
      <w:r w:rsidRPr="00DC2AC9">
        <w:t xml:space="preserve"> portavoce della Commissione europea, Johanna Bernsel</w:t>
      </w:r>
      <w:r>
        <w:t>, la quale ha invece dichiarato alla stampa che accoglie “</w:t>
      </w:r>
      <w:r w:rsidRPr="00DC2AC9">
        <w:rPr>
          <w:i/>
          <w:iCs/>
        </w:rPr>
        <w:t>con grande favore</w:t>
      </w:r>
      <w:r>
        <w:t>” il decreto legge sopra sommariamente illustrato. Anche se, fortunatamente</w:t>
      </w:r>
      <w:r w:rsidR="0042497E">
        <w:t>,</w:t>
      </w:r>
      <w:r>
        <w:t xml:space="preserve"> ha aggiunto che la procedura di infrazione contro il nostro paese sarà chiusa solo quando “</w:t>
      </w:r>
      <w:r w:rsidRPr="00DC2AC9">
        <w:rPr>
          <w:i/>
          <w:iCs/>
        </w:rPr>
        <w:t>le ultime norme italiane per le concessioni saranno pienamente in linea con il diritto dell’Ue</w:t>
      </w:r>
      <w:r>
        <w:t>”</w:t>
      </w:r>
      <w:r w:rsidR="00511AF6">
        <w:t xml:space="preserve"> con il rispetto della scadenza del 2027. </w:t>
      </w:r>
      <w:r>
        <w:t xml:space="preserve"> </w:t>
      </w:r>
    </w:p>
    <w:p w14:paraId="72F1F92D" w14:textId="77777777" w:rsidR="00367BF9" w:rsidRDefault="00367BF9" w:rsidP="005A3B3A"/>
    <w:sectPr w:rsidR="00367BF9" w:rsidSect="00310A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15B0" w14:textId="77777777" w:rsidR="00687AEC" w:rsidRDefault="00687AEC" w:rsidP="00ED6B2C">
      <w:r>
        <w:separator/>
      </w:r>
    </w:p>
  </w:endnote>
  <w:endnote w:type="continuationSeparator" w:id="0">
    <w:p w14:paraId="1E998739" w14:textId="77777777" w:rsidR="00687AEC" w:rsidRDefault="00687AEC" w:rsidP="00ED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9358" w14:textId="77777777" w:rsidR="00687AEC" w:rsidRDefault="00687AEC" w:rsidP="00ED6B2C">
      <w:r>
        <w:separator/>
      </w:r>
    </w:p>
  </w:footnote>
  <w:footnote w:type="continuationSeparator" w:id="0">
    <w:p w14:paraId="384F0F8E" w14:textId="77777777" w:rsidR="00687AEC" w:rsidRDefault="00687AEC" w:rsidP="00ED6B2C">
      <w:r>
        <w:continuationSeparator/>
      </w:r>
    </w:p>
  </w:footnote>
  <w:footnote w:id="1">
    <w:p w14:paraId="3FA3BCCD" w14:textId="53879AF8" w:rsidR="00367BF9" w:rsidRPr="00367BF9" w:rsidRDefault="00367BF9" w:rsidP="00367BF9">
      <w:pPr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67BF9">
        <w:rPr>
          <w:sz w:val="20"/>
          <w:szCs w:val="20"/>
        </w:rPr>
        <w:t xml:space="preserve">Per approfondimenti, cfr. TIMO,  L’incostituzionalità delle proroghe legali delle concessioni balneari per violazione della “direttiva servizi” (nota a Corte cost. n. 109/2024), in </w:t>
      </w:r>
      <w:r w:rsidRPr="00367BF9">
        <w:rPr>
          <w:i/>
          <w:iCs/>
          <w:sz w:val="20"/>
          <w:szCs w:val="20"/>
        </w:rPr>
        <w:t>Giust. Insieme</w:t>
      </w:r>
      <w:r w:rsidRPr="00367BF9">
        <w:rPr>
          <w:sz w:val="20"/>
          <w:szCs w:val="20"/>
        </w:rPr>
        <w:t xml:space="preserve"> , 18 settembre 2024</w:t>
      </w:r>
    </w:p>
  </w:footnote>
  <w:footnote w:id="2">
    <w:p w14:paraId="51415AC5" w14:textId="418E78C4" w:rsidR="00ED6B2C" w:rsidRDefault="00ED6B2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D6B2C">
        <w:t xml:space="preserve">guarda caso la proroga coincide con la fine del mandato del </w:t>
      </w:r>
      <w:r>
        <w:t>g</w:t>
      </w:r>
      <w:r w:rsidRPr="00ED6B2C">
        <w:t>overno in carica…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3729"/>
    <w:multiLevelType w:val="hybridMultilevel"/>
    <w:tmpl w:val="B1129B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27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AE"/>
    <w:rsid w:val="00017572"/>
    <w:rsid w:val="00050E85"/>
    <w:rsid w:val="00061325"/>
    <w:rsid w:val="00066CC7"/>
    <w:rsid w:val="000B3834"/>
    <w:rsid w:val="000C57F6"/>
    <w:rsid w:val="000D1308"/>
    <w:rsid w:val="000D51DD"/>
    <w:rsid w:val="000F5B65"/>
    <w:rsid w:val="00133590"/>
    <w:rsid w:val="00144CDF"/>
    <w:rsid w:val="001671DF"/>
    <w:rsid w:val="00175D86"/>
    <w:rsid w:val="001A195D"/>
    <w:rsid w:val="001C2111"/>
    <w:rsid w:val="001D18D1"/>
    <w:rsid w:val="001D197E"/>
    <w:rsid w:val="001D3135"/>
    <w:rsid w:val="001D3FB9"/>
    <w:rsid w:val="00214067"/>
    <w:rsid w:val="00246A03"/>
    <w:rsid w:val="00246E43"/>
    <w:rsid w:val="002503E2"/>
    <w:rsid w:val="00256E00"/>
    <w:rsid w:val="002C5E4B"/>
    <w:rsid w:val="002E1E2D"/>
    <w:rsid w:val="00310A2D"/>
    <w:rsid w:val="00322D83"/>
    <w:rsid w:val="00327AD5"/>
    <w:rsid w:val="0034404F"/>
    <w:rsid w:val="00367BF9"/>
    <w:rsid w:val="00385CD8"/>
    <w:rsid w:val="003911D5"/>
    <w:rsid w:val="003C7693"/>
    <w:rsid w:val="003D1628"/>
    <w:rsid w:val="00414CB0"/>
    <w:rsid w:val="004157D8"/>
    <w:rsid w:val="00420A8A"/>
    <w:rsid w:val="0042497E"/>
    <w:rsid w:val="00431417"/>
    <w:rsid w:val="004453A0"/>
    <w:rsid w:val="00477855"/>
    <w:rsid w:val="00492082"/>
    <w:rsid w:val="004A30D8"/>
    <w:rsid w:val="004B3B44"/>
    <w:rsid w:val="004F49DB"/>
    <w:rsid w:val="004F62A7"/>
    <w:rsid w:val="00504451"/>
    <w:rsid w:val="00505D10"/>
    <w:rsid w:val="00511AF6"/>
    <w:rsid w:val="0053390E"/>
    <w:rsid w:val="005A3B3A"/>
    <w:rsid w:val="005E6488"/>
    <w:rsid w:val="005F4EBE"/>
    <w:rsid w:val="00630D93"/>
    <w:rsid w:val="00637BEC"/>
    <w:rsid w:val="0065130B"/>
    <w:rsid w:val="006724E8"/>
    <w:rsid w:val="0067459E"/>
    <w:rsid w:val="006766F7"/>
    <w:rsid w:val="00687AEC"/>
    <w:rsid w:val="006A76E8"/>
    <w:rsid w:val="00721AE6"/>
    <w:rsid w:val="0073325A"/>
    <w:rsid w:val="00760AE7"/>
    <w:rsid w:val="007E0088"/>
    <w:rsid w:val="0082023B"/>
    <w:rsid w:val="00833074"/>
    <w:rsid w:val="00865F40"/>
    <w:rsid w:val="00866035"/>
    <w:rsid w:val="008937F3"/>
    <w:rsid w:val="008F5D01"/>
    <w:rsid w:val="0090061B"/>
    <w:rsid w:val="00916B09"/>
    <w:rsid w:val="00954F9E"/>
    <w:rsid w:val="00986541"/>
    <w:rsid w:val="0099041A"/>
    <w:rsid w:val="009F1C86"/>
    <w:rsid w:val="00A60736"/>
    <w:rsid w:val="00A840C8"/>
    <w:rsid w:val="00A906D3"/>
    <w:rsid w:val="00A94D1B"/>
    <w:rsid w:val="00AA37B1"/>
    <w:rsid w:val="00AB7E2D"/>
    <w:rsid w:val="00B10E67"/>
    <w:rsid w:val="00B71721"/>
    <w:rsid w:val="00BA7217"/>
    <w:rsid w:val="00BB358A"/>
    <w:rsid w:val="00BF5AD9"/>
    <w:rsid w:val="00BF6CA0"/>
    <w:rsid w:val="00C20FAE"/>
    <w:rsid w:val="00C3232D"/>
    <w:rsid w:val="00C546A9"/>
    <w:rsid w:val="00C63B30"/>
    <w:rsid w:val="00C645D4"/>
    <w:rsid w:val="00C65E7D"/>
    <w:rsid w:val="00CC2766"/>
    <w:rsid w:val="00CC4D13"/>
    <w:rsid w:val="00D11008"/>
    <w:rsid w:val="00D12A5C"/>
    <w:rsid w:val="00D1551F"/>
    <w:rsid w:val="00D53D92"/>
    <w:rsid w:val="00D7267C"/>
    <w:rsid w:val="00D975C9"/>
    <w:rsid w:val="00DA573D"/>
    <w:rsid w:val="00DB0249"/>
    <w:rsid w:val="00DC2AC9"/>
    <w:rsid w:val="00E274CF"/>
    <w:rsid w:val="00E4468E"/>
    <w:rsid w:val="00E53BFD"/>
    <w:rsid w:val="00E9270C"/>
    <w:rsid w:val="00ED6B2C"/>
    <w:rsid w:val="00EF0B89"/>
    <w:rsid w:val="00F208A5"/>
    <w:rsid w:val="00F26376"/>
    <w:rsid w:val="00F36E29"/>
    <w:rsid w:val="00F459D2"/>
    <w:rsid w:val="00F45D63"/>
    <w:rsid w:val="00F73952"/>
    <w:rsid w:val="00FA034D"/>
    <w:rsid w:val="00FB658B"/>
    <w:rsid w:val="00F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81BC"/>
  <w15:chartTrackingRefBased/>
  <w15:docId w15:val="{250D983B-E719-4F0A-92E1-4C3BF6E4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D63"/>
    <w:rPr>
      <w:rFonts w:ascii="Times New Roman" w:hAnsi="Times New Roman"/>
      <w:sz w:val="24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45D6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45D6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45D6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45D6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0F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0F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0F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0F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0F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45D6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45D63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5D63"/>
    <w:rPr>
      <w:rFonts w:ascii="Cambria" w:eastAsia="Times New Roman" w:hAnsi="Cambria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45D63"/>
    <w:rPr>
      <w:rFonts w:ascii="Cambria" w:eastAsia="Times New Roman" w:hAnsi="Cambria"/>
      <w:b/>
      <w:bCs/>
      <w:i/>
      <w:iCs/>
      <w:color w:val="4F81BD"/>
    </w:rPr>
  </w:style>
  <w:style w:type="character" w:styleId="Enfasigrassetto">
    <w:name w:val="Strong"/>
    <w:basedOn w:val="Carpredefinitoparagrafo"/>
    <w:uiPriority w:val="22"/>
    <w:qFormat/>
    <w:rsid w:val="00F45D63"/>
    <w:rPr>
      <w:b/>
      <w:bCs/>
    </w:rPr>
  </w:style>
  <w:style w:type="character" w:styleId="Enfasicorsivo">
    <w:name w:val="Emphasis"/>
    <w:basedOn w:val="Carpredefinitoparagrafo"/>
    <w:uiPriority w:val="20"/>
    <w:qFormat/>
    <w:rsid w:val="00F45D63"/>
    <w:rPr>
      <w:i/>
      <w:iCs/>
    </w:rPr>
  </w:style>
  <w:style w:type="paragraph" w:styleId="Nessunaspaziatura">
    <w:name w:val="No Spacing"/>
    <w:uiPriority w:val="1"/>
    <w:qFormat/>
    <w:rsid w:val="00F45D63"/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0FAE"/>
    <w:rPr>
      <w:rFonts w:asciiTheme="minorHAnsi" w:eastAsiaTheme="majorEastAsia" w:hAnsiTheme="minorHAnsi" w:cstheme="majorBidi"/>
      <w:color w:val="365F91" w:themeColor="accent1" w:themeShade="BF"/>
      <w:sz w:val="24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0FA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0FAE"/>
    <w:rPr>
      <w:rFonts w:asciiTheme="minorHAnsi" w:eastAsiaTheme="majorEastAsia" w:hAnsiTheme="minorHAnsi" w:cstheme="majorBidi"/>
      <w:color w:val="595959" w:themeColor="text1" w:themeTint="A6"/>
      <w:sz w:val="24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0FA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0FAE"/>
    <w:rPr>
      <w:rFonts w:asciiTheme="minorHAnsi" w:eastAsiaTheme="majorEastAsia" w:hAnsiTheme="minorHAnsi" w:cstheme="majorBidi"/>
      <w:color w:val="272727" w:themeColor="text1" w:themeTint="D8"/>
      <w:sz w:val="24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0F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0F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0F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0F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0FAE"/>
    <w:rPr>
      <w:rFonts w:ascii="Times New Roman" w:hAnsi="Times New Roman"/>
      <w:i/>
      <w:iCs/>
      <w:color w:val="404040" w:themeColor="text1" w:themeTint="BF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C20F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0FA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0F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0FAE"/>
    <w:rPr>
      <w:rFonts w:ascii="Times New Roman" w:hAnsi="Times New Roman"/>
      <w:i/>
      <w:iCs/>
      <w:color w:val="365F91" w:themeColor="accent1" w:themeShade="BF"/>
      <w:sz w:val="24"/>
      <w:szCs w:val="22"/>
    </w:rPr>
  </w:style>
  <w:style w:type="character" w:styleId="Riferimentointenso">
    <w:name w:val="Intense Reference"/>
    <w:basedOn w:val="Carpredefinitoparagrafo"/>
    <w:uiPriority w:val="32"/>
    <w:qFormat/>
    <w:rsid w:val="00C20FAE"/>
    <w:rPr>
      <w:b/>
      <w:bCs/>
      <w:smallCaps/>
      <w:color w:val="365F9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6B2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6B2C"/>
    <w:rPr>
      <w:rFonts w:ascii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6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6E78-E4ED-4D9A-A20C-727A8D88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Gianfranco</dc:creator>
  <cp:keywords/>
  <dc:description/>
  <cp:lastModifiedBy>Giuseppe Cascini</cp:lastModifiedBy>
  <cp:revision>2</cp:revision>
  <dcterms:created xsi:type="dcterms:W3CDTF">2024-10-04T06:47:00Z</dcterms:created>
  <dcterms:modified xsi:type="dcterms:W3CDTF">2024-10-04T06:47:00Z</dcterms:modified>
</cp:coreProperties>
</file>